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color w:val="auto"/>
          <w:sz w:val="22"/>
          <w:szCs w:val="22"/>
        </w:rPr>
      </w:pPr>
      <w:bookmarkStart w:id="0" w:name="_Hlk86836474"/>
      <w:bookmarkStart w:id="1" w:name="_Hlk86058943"/>
      <w:r>
        <w:rPr>
          <w:rFonts w:cs="Arial" w:ascii="Arial" w:hAnsi="Arial"/>
          <w:b/>
          <w:bCs/>
          <w:caps/>
          <w:color w:val="auto"/>
          <w:sz w:val="22"/>
          <w:szCs w:val="22"/>
        </w:rPr>
        <w:t xml:space="preserve">Ryšio stiprinimo </w:t>
      </w:r>
      <w:bookmarkEnd w:id="0"/>
      <w:bookmarkEnd w:id="1"/>
      <w:r>
        <w:rPr>
          <w:rFonts w:cs="Arial" w:ascii="Arial" w:hAnsi="Arial"/>
          <w:b/>
          <w:bCs/>
          <w:caps/>
          <w:color w:val="auto"/>
          <w:sz w:val="22"/>
          <w:szCs w:val="22"/>
        </w:rPr>
        <w:t xml:space="preserve">Įrangos </w:t>
      </w:r>
      <w:r>
        <w:rPr>
          <w:rFonts w:cs="Arial" w:ascii="Arial" w:hAnsi="Arial"/>
          <w:b/>
          <w:color w:val="auto"/>
          <w:sz w:val="22"/>
          <w:szCs w:val="22"/>
        </w:rPr>
        <w:t>TECHNINĖ SPECIFIKACIJA</w:t>
      </w:r>
    </w:p>
    <w:p>
      <w:pPr>
        <w:pStyle w:val="Normal"/>
        <w:ind w:firstLine="567"/>
        <w:jc w:val="center"/>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sz w:val="22"/>
          <w:szCs w:val="22"/>
        </w:rPr>
      </w:pPr>
      <w:r>
        <w:rPr>
          <w:rFonts w:cs="Arial" w:ascii="Arial" w:hAnsi="Arial"/>
          <w:i w:val="false"/>
          <w:iCs w:val="false"/>
          <w:sz w:val="22"/>
          <w:szCs w:val="22"/>
        </w:rPr>
        <w:t>1.1. Ryšio stiprinimo įranga</w:t>
      </w:r>
      <w:r>
        <w:rPr>
          <w:rFonts w:cs="Arial" w:ascii="Arial" w:hAnsi="Arial"/>
          <w:sz w:val="22"/>
          <w:szCs w:val="22"/>
        </w:rPr>
        <w:t xml:space="preserve">, </w:t>
      </w:r>
      <w:r>
        <w:rPr>
          <w:rFonts w:cs="Arial" w:ascii="Arial" w:hAnsi="Arial"/>
          <w:i w:val="false"/>
          <w:iCs w:val="false"/>
          <w:sz w:val="22"/>
          <w:szCs w:val="22"/>
        </w:rPr>
        <w:t xml:space="preserve">BVPŽ kodas 32233000-5 Radijo dažnius stiprinančios stotys. </w:t>
      </w:r>
    </w:p>
    <w:p>
      <w:pPr>
        <w:pStyle w:val="Heading2"/>
        <w:jc w:val="both"/>
        <w:rPr>
          <w:rFonts w:ascii="Arial" w:hAnsi="Arial" w:eastAsia="Calibri" w:cs="Arial" w:eastAsiaTheme="minorHAnsi"/>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47"/>
        <w:gridCol w:w="6306"/>
        <w:gridCol w:w="1556"/>
        <w:gridCol w:w="1228"/>
      </w:tblGrid>
      <w:tr>
        <w:trPr/>
        <w:tc>
          <w:tcPr>
            <w:tcW w:w="547"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Eil. Nr.</w:t>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55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Preliminarus kiekis*</w:t>
            </w:r>
          </w:p>
        </w:tc>
        <w:tc>
          <w:tcPr>
            <w:tcW w:w="122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Stiprintuvas (800 MHz dažnių juostos)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2</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Stiprintuvas (900 MHz dažnių juostos)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2</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Stiprintuvas (1800 MHz dažnių juostos)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2</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Stiprintuvas (800 MHz ir 900 MHz dažnių juostos)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1</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Stiprintuvas (900 MHz ir 1800 MHz dažnių juostos)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1</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Šakotuvas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Lauko antena</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Lauko antenos laikiklis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Vidaus antena</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Jungtys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30</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Montavimo paslaugos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Kabelis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85</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m.</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Registravimas RRT sistemoje</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color w:val="auto"/>
                <w:sz w:val="22"/>
                <w:szCs w:val="22"/>
              </w:rPr>
            </w:pPr>
            <w:r>
              <w:rPr>
                <w:rFonts w:cs="Arial" w:ascii="Arial" w:hAnsi="Arial"/>
                <w:color w:val="auto"/>
                <w:sz w:val="22"/>
                <w:szCs w:val="22"/>
              </w:rPr>
              <w:t>Stiprintuvo paleidimas ir suderinimas</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8</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r>
        <w:trPr/>
        <w:tc>
          <w:tcPr>
            <w:tcW w:w="547" w:type="dxa"/>
            <w:tcBorders>
              <w:top w:val="single" w:sz="4" w:space="0" w:color="000000"/>
              <w:left w:val="single" w:sz="4" w:space="0" w:color="000000"/>
              <w:bottom w:val="single" w:sz="4" w:space="0" w:color="000000"/>
              <w:right w:val="single" w:sz="4" w:space="0" w:color="000000"/>
            </w:tcBorders>
          </w:tcPr>
          <w:p>
            <w:pPr>
              <w:pStyle w:val="ListParagraph"/>
              <w:numPr>
                <w:ilvl w:val="0"/>
                <w:numId w:val="10"/>
              </w:numPr>
              <w:ind w:hanging="357" w:left="357"/>
              <w:jc w:val="center"/>
              <w:rPr>
                <w:rFonts w:ascii="Arial" w:hAnsi="Arial" w:cs="Arial"/>
                <w:color w:val="auto"/>
                <w:sz w:val="22"/>
                <w:szCs w:val="22"/>
                <w:lang w:eastAsia="en-US"/>
              </w:rPr>
            </w:pPr>
            <w:r>
              <w:rPr>
                <w:rFonts w:cs="Arial" w:ascii="Arial" w:hAnsi="Arial"/>
                <w:color w:val="auto"/>
                <w:sz w:val="22"/>
                <w:szCs w:val="22"/>
                <w:lang w:eastAsia="en-US"/>
              </w:rPr>
            </w:r>
          </w:p>
        </w:tc>
        <w:tc>
          <w:tcPr>
            <w:tcW w:w="6306"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Times New Roman" w:cs="Arial"/>
                <w:sz w:val="22"/>
                <w:szCs w:val="22"/>
              </w:rPr>
            </w:pPr>
            <w:r>
              <w:rPr>
                <w:rFonts w:eastAsia="Times New Roman" w:cs="Arial" w:ascii="Arial" w:hAnsi="Arial"/>
                <w:sz w:val="22"/>
                <w:szCs w:val="22"/>
              </w:rPr>
              <w:t>Papildomos paslaugos</w:t>
            </w:r>
            <w:r>
              <w:rPr>
                <w:rFonts w:eastAsia="Times New Roman" w:cs="Arial" w:ascii="Arial" w:hAnsi="Arial"/>
                <w:sz w:val="22"/>
                <w:szCs w:val="22"/>
              </w:rPr>
              <w:t>, tiesiogiai susijusios su pirkimo objektu</w:t>
            </w:r>
          </w:p>
        </w:tc>
        <w:tc>
          <w:tcPr>
            <w:tcW w:w="155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50</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val.</w:t>
            </w:r>
          </w:p>
        </w:tc>
      </w:tr>
    </w:tbl>
    <w:p>
      <w:pPr>
        <w:pStyle w:val="Normal"/>
        <w:jc w:val="both"/>
        <w:rPr>
          <w:rFonts w:ascii="Arial" w:hAnsi="Arial" w:cs="Arial"/>
          <w:sz w:val="22"/>
          <w:szCs w:val="22"/>
        </w:rPr>
      </w:pPr>
      <w:r>
        <w:rPr>
          <w:rFonts w:cs="Arial" w:ascii="Arial" w:hAnsi="Arial"/>
          <w:sz w:val="22"/>
          <w:szCs w:val="22"/>
        </w:rPr>
        <w:t>*Nurodyti kiekiai yra preliminarūs, gali būti didinami ar mažinami, prekės / paslaugos bus perkamos pagal reikalingumą ir valstybės įmonės Valstybinių miškų urėdijos (toliau – Pirkėjas) poreikį. Pirkėjas neįsipareigoja nupirkti viso nurodyto kiekio.</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 xml:space="preserve">1.3. Pirkėjas taip pat turi teisę, esant poreikiui, pirkti ir kitas Techninėje specifikacijoje nenurodytas, tačiau su pirkimo objektu susijusias prekes ir paslaugas. Panašaus pobūdžio prekės ir paslaugos, nenumatytos Techninėje specifikacijoje, bus perkamos ne didesnėmis nei susitarimo pasirašymo dieną galiojančiomis Tiekėjo prekybos vietoje, kataloge ar interneto svetainėje nurodytomis šių paslaugų kainomis, arba, jei tokios kainos neskelbiamos, Tiekėjo pasiūlytomis, konkurencingomis ir rinką atitinkančiomis kainomis. </w:t>
      </w:r>
    </w:p>
    <w:p>
      <w:pPr>
        <w:pStyle w:val="Bodytext21"/>
        <w:shd w:val="clear" w:color="auto" w:fill="auto"/>
        <w:tabs>
          <w:tab w:val="clear" w:pos="1296"/>
          <w:tab w:val="left" w:pos="0" w:leader="none"/>
        </w:tabs>
        <w:spacing w:lineRule="auto" w:line="240"/>
        <w:ind w:hanging="0" w:right="55"/>
        <w:jc w:val="both"/>
        <w:rPr>
          <w:rFonts w:ascii="Arial" w:hAnsi="Arial" w:cs="Arial"/>
          <w:sz w:val="22"/>
          <w:szCs w:val="22"/>
        </w:rPr>
      </w:pPr>
      <w:r>
        <w:rPr>
          <w:rFonts w:cs="Arial" w:ascii="Arial" w:hAnsi="Arial"/>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i/>
          <w:iCs/>
          <w:sz w:val="22"/>
          <w:szCs w:val="22"/>
        </w:rPr>
      </w:pPr>
      <w:r>
        <w:rPr>
          <w:rStyle w:val="Bodytext2NotItalic2"/>
          <w:rFonts w:cs="Arial" w:ascii="Arial" w:hAnsi="Arial"/>
          <w:b/>
          <w:i w:val="false"/>
          <w:iCs/>
          <w:sz w:val="22"/>
          <w:szCs w:val="22"/>
        </w:rPr>
        <w:t>2. PIRKIMO OBJEKTO PRITAIKYMO SRITIS</w:t>
      </w:r>
      <w:r>
        <w:rPr>
          <w:rStyle w:val="Bodytext2NotItalic2"/>
          <w:rFonts w:cs="Arial" w:ascii="Arial" w:hAnsi="Arial"/>
          <w:b/>
          <w:i/>
          <w:iCs/>
          <w:sz w:val="22"/>
          <w:szCs w:val="22"/>
        </w:rPr>
        <w:t xml:space="preserve"> </w:t>
      </w:r>
    </w:p>
    <w:p>
      <w:pPr>
        <w:pStyle w:val="Bodytext21"/>
        <w:shd w:val="clear" w:color="auto" w:fill="auto"/>
        <w:tabs>
          <w:tab w:val="clear" w:pos="1296"/>
          <w:tab w:val="left" w:pos="426"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 xml:space="preserve">2.1. Pirkėjas šiuo pirkimu siekia pagerinti mobilaus ryšio signalą patalpose, kad būtų užtikrinta pokalbio kokybė.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3. TECHNINIAI REIKALAVIMAI, KURIUOS TURI ATITIKTI PERKAMOS PREKĖS</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ListParagraph"/>
        <w:numPr>
          <w:ilvl w:val="0"/>
          <w:numId w:val="3"/>
        </w:numPr>
        <w:tabs>
          <w:tab w:val="clear" w:pos="1296"/>
          <w:tab w:val="left" w:pos="993" w:leader="none"/>
        </w:tabs>
        <w:spacing w:before="0" w:after="60"/>
        <w:ind w:hanging="0"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Bendrieji reikalavimai sprendimui:</w:t>
      </w:r>
    </w:p>
    <w:p>
      <w:pPr>
        <w:pStyle w:val="ListParagraph"/>
        <w:numPr>
          <w:ilvl w:val="0"/>
          <w:numId w:val="4"/>
        </w:numPr>
        <w:tabs>
          <w:tab w:val="clear" w:pos="1296"/>
          <w:tab w:val="left" w:pos="993"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Ryšio stiprinimo įranga turės būti įrengta Pirkėjo nurodytuose taškuose, t.y. gali būti bet kuriame Lietuvos taške.</w:t>
      </w:r>
    </w:p>
    <w:p>
      <w:pPr>
        <w:pStyle w:val="ListParagraph"/>
        <w:numPr>
          <w:ilvl w:val="0"/>
          <w:numId w:val="4"/>
        </w:numPr>
        <w:tabs>
          <w:tab w:val="clear" w:pos="1296"/>
          <w:tab w:val="left" w:pos="993"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Ryšio stiprinimo įranga turi būti įrengta ne vėliau kaip per 20 d. d. nuo pateikto ir suderinto pasiūlymo ir užsakymo pateikimo.</w:t>
      </w:r>
    </w:p>
    <w:p>
      <w:pPr>
        <w:pStyle w:val="ListParagraph"/>
        <w:numPr>
          <w:ilvl w:val="0"/>
          <w:numId w:val="4"/>
        </w:numPr>
        <w:tabs>
          <w:tab w:val="clear" w:pos="1296"/>
          <w:tab w:val="left" w:pos="993"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Tiekėjas prieš įrengdamas ryšio stiprinimo įrangą nurodytame taške turės per 10 d.d. atlikti analizę ir pateikti pasiūlymą užtikinantį geriausią sprendimą ryšio stiprinimui nurodytame taške.</w:t>
      </w:r>
    </w:p>
    <w:p>
      <w:pPr>
        <w:pStyle w:val="ListParagraph"/>
        <w:numPr>
          <w:ilvl w:val="0"/>
          <w:numId w:val="4"/>
        </w:numPr>
        <w:tabs>
          <w:tab w:val="clear" w:pos="1296"/>
          <w:tab w:val="left" w:pos="993"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Ryšio stiprinimo įranga turi stiprinti pagrindinių tinklo operatorių: Bitė, Tele2, Telia mobilų ryšį (2G, 4G) užtikrinantį pokalbio kokybę.</w:t>
      </w:r>
    </w:p>
    <w:p>
      <w:pPr>
        <w:pStyle w:val="ListParagraph"/>
        <w:numPr>
          <w:ilvl w:val="0"/>
          <w:numId w:val="4"/>
        </w:numPr>
        <w:tabs>
          <w:tab w:val="clear" w:pos="1296"/>
          <w:tab w:val="left" w:pos="993"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Ryšio stiprinimo sprendimas turi atitikti Techninėje specifikacijoje keliamus reikalavimus.</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 xml:space="preserve">Ryšio stiprinimo sprendimas susideda iš: stiprintuvo, lauko antenos, lauko antenos tvirtinimo stovo, montavimo kabelių, žaibo apsaugos, jungčių ir kitų reikalingų medžiagų užtikrinantį tinkamą sprendimo įgyvendinimą bei montavimo darbų. </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Ryšio stiprinimo įrangą neturi būti įtakojama įvairių išorinių gamtinių ar kitų faktorių, pvz., drėgmės, temperatūros, kritulių, paros laiko.</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Tiekėjas įrengdamas ryšio stiprinimo įranga turi užtikrinti bei prisiimti atsakomybę, kad skleidžiami dažniai atitinka teisės aktuose numatytus reikalavimus.</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Tiekėjas turi užtikrinti legalumą bei įregistruoti įrangą operatoriaus tinkle.</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 xml:space="preserve">Tiekėjas turi užtikrinti, kad ryšio stiprinimo įrangoje gamykliniai slaptažodžiai būtų pakeisti naujais, saugiais slaptažodžiais bei užtikrinti jų konfidencialumą. </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Pastatų būklė ir architektūriniai sprendimai turi nepakisti sumontavus ryšio stiprinimo įrangą.</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Tiekėjas įsipareigoja ryšio stiprinimo įrangai suteikti ne mažiau 24 mėn. garantiją bei vykdyti visapusišką priežiūrą,</w:t>
      </w:r>
      <w:r>
        <w:rPr/>
        <w:t xml:space="preserve"> </w:t>
      </w:r>
      <w:r>
        <w:rPr>
          <w:rFonts w:eastAsia="Calibri" w:cs="Arial" w:ascii="Arial" w:hAnsi="Arial" w:eastAsiaTheme="minorHAnsi"/>
          <w:color w:val="auto"/>
          <w:sz w:val="22"/>
          <w:szCs w:val="22"/>
          <w:lang w:eastAsia="ja-JP"/>
        </w:rPr>
        <w:t xml:space="preserve">nuo perdavimo – priėmimo akto pasirašymo dienos. Priėmimo – perdavimo aktas pasirašomas po sprendimo sudiegimo. </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Visa įranga aturi atitikti CE standartus.</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Tiekėjas turi pateikti visų trijų operatorių atsiliepimą dėl ryšio stiprinimo įrangos montavimo.</w:t>
      </w:r>
    </w:p>
    <w:p>
      <w:pPr>
        <w:pStyle w:val="ListParagraph"/>
        <w:numPr>
          <w:ilvl w:val="0"/>
          <w:numId w:val="4"/>
        </w:numPr>
        <w:tabs>
          <w:tab w:val="clear" w:pos="1296"/>
          <w:tab w:val="left" w:pos="0" w:leader="none"/>
        </w:tabs>
        <w:spacing w:before="0" w:after="60"/>
        <w:ind w:firstLine="567"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Pasibaigus sutarties galiojimui visa ryšio stiprinimo įranga lieka Pirkėjui.</w:t>
      </w:r>
    </w:p>
    <w:p>
      <w:pPr>
        <w:pStyle w:val="ListParagraph"/>
        <w:numPr>
          <w:ilvl w:val="0"/>
          <w:numId w:val="3"/>
        </w:numPr>
        <w:tabs>
          <w:tab w:val="clear" w:pos="1296"/>
          <w:tab w:val="left" w:pos="0" w:leader="none"/>
        </w:tabs>
        <w:spacing w:before="0" w:after="60"/>
        <w:ind w:hanging="0"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Techninio aptarnavimo sąlygos:</w:t>
      </w:r>
    </w:p>
    <w:p>
      <w:pPr>
        <w:pStyle w:val="ListParagraph"/>
        <w:numPr>
          <w:ilvl w:val="0"/>
          <w:numId w:val="11"/>
        </w:numPr>
        <w:tabs>
          <w:tab w:val="clear" w:pos="1296"/>
          <w:tab w:val="left" w:pos="0" w:leader="none"/>
        </w:tabs>
        <w:spacing w:before="0" w:after="60"/>
        <w:ind w:firstLine="567" w:left="0"/>
        <w:contextualSpacing/>
        <w:jc w:val="both"/>
        <w:rPr>
          <w:rFonts w:ascii="Arial" w:hAnsi="Arial" w:cs="Arial"/>
          <w:sz w:val="22"/>
          <w:szCs w:val="22"/>
        </w:rPr>
      </w:pPr>
      <w:r>
        <w:rPr>
          <w:rFonts w:cs="Arial" w:ascii="Arial" w:hAnsi="Arial"/>
          <w:sz w:val="22"/>
          <w:szCs w:val="22"/>
          <w:lang w:eastAsia="en-US"/>
        </w:rPr>
        <w:t xml:space="preserve">Techninio aptarnavimo </w:t>
      </w:r>
      <w:r>
        <w:rPr>
          <w:rFonts w:cs="Arial" w:ascii="Arial" w:hAnsi="Arial"/>
          <w:sz w:val="22"/>
          <w:szCs w:val="22"/>
        </w:rPr>
        <w:t>paslaugos teikiamos pagal Pirkėjo pateiktus pranešimus apie ryšio stiprinimo sprendimo gedimus / sutrikimus.</w:t>
      </w:r>
    </w:p>
    <w:p>
      <w:pPr>
        <w:pStyle w:val="ListParagraph"/>
        <w:numPr>
          <w:ilvl w:val="0"/>
          <w:numId w:val="11"/>
        </w:numPr>
        <w:tabs>
          <w:tab w:val="clear" w:pos="1296"/>
          <w:tab w:val="left" w:pos="0" w:leader="none"/>
        </w:tabs>
        <w:spacing w:before="0" w:after="60"/>
        <w:ind w:firstLine="567" w:left="0"/>
        <w:contextualSpacing/>
        <w:jc w:val="both"/>
        <w:rPr>
          <w:rFonts w:ascii="Arial" w:hAnsi="Arial" w:cs="Arial"/>
          <w:sz w:val="22"/>
          <w:szCs w:val="22"/>
        </w:rPr>
      </w:pPr>
      <w:r>
        <w:rPr>
          <w:rFonts w:cs="Arial" w:ascii="Arial" w:hAnsi="Arial"/>
          <w:sz w:val="22"/>
          <w:szCs w:val="22"/>
        </w:rPr>
        <w:t>Pranešimus apie ryšio stiprinimo sprendimo gedimus / sutrikimus Pirkėjo įgalioti atstovai pateikia Tiekėjui elektroniniu būdu per Tiekėjo pateiktą elektroninę pagalbos tarnybą (ar kita rašytine Tiekėjo pasiūlyta ir Pirkėjo priimtina forma).</w:t>
      </w:r>
    </w:p>
    <w:p>
      <w:pPr>
        <w:pStyle w:val="ListParagraph"/>
        <w:numPr>
          <w:ilvl w:val="0"/>
          <w:numId w:val="11"/>
        </w:numPr>
        <w:tabs>
          <w:tab w:val="clear" w:pos="1296"/>
          <w:tab w:val="left" w:pos="0" w:leader="none"/>
        </w:tabs>
        <w:spacing w:before="0" w:after="60"/>
        <w:ind w:firstLine="567" w:left="0"/>
        <w:contextualSpacing/>
        <w:jc w:val="both"/>
        <w:rPr>
          <w:rFonts w:ascii="Arial" w:hAnsi="Arial" w:cs="Arial"/>
          <w:sz w:val="22"/>
          <w:szCs w:val="22"/>
        </w:rPr>
      </w:pPr>
      <w:r>
        <w:rPr>
          <w:rFonts w:cs="Arial" w:ascii="Arial" w:hAnsi="Arial"/>
          <w:sz w:val="22"/>
          <w:szCs w:val="22"/>
        </w:rPr>
        <w:t>Tiekėjas įsipareigoja nemokamai teikti techninį aptarnavimą tokiomis sąlygomis:</w:t>
      </w:r>
    </w:p>
    <w:p>
      <w:pPr>
        <w:pStyle w:val="ListParagraph"/>
        <w:numPr>
          <w:ilvl w:val="0"/>
          <w:numId w:val="12"/>
        </w:numPr>
        <w:tabs>
          <w:tab w:val="clear" w:pos="1296"/>
          <w:tab w:val="left" w:pos="426" w:leader="none"/>
        </w:tabs>
        <w:spacing w:before="0" w:after="60"/>
        <w:ind w:firstLine="426" w:left="0"/>
        <w:contextualSpacing/>
        <w:jc w:val="both"/>
        <w:rPr>
          <w:rFonts w:ascii="Arial" w:hAnsi="Arial" w:cs="Arial"/>
          <w:sz w:val="22"/>
          <w:szCs w:val="22"/>
        </w:rPr>
      </w:pPr>
      <w:r>
        <w:rPr>
          <w:rFonts w:cs="Arial" w:ascii="Arial" w:hAnsi="Arial"/>
          <w:sz w:val="22"/>
          <w:szCs w:val="22"/>
        </w:rPr>
        <w:t>Reakcijos laikas į ryšio stiprinimo sprendimo gedimus / sutrikimus darbo metu – iki 2 d. val. nuo Pirkėjo pranešimo pateikimo momento;</w:t>
      </w:r>
    </w:p>
    <w:p>
      <w:pPr>
        <w:pStyle w:val="ListParagraph"/>
        <w:numPr>
          <w:ilvl w:val="0"/>
          <w:numId w:val="12"/>
        </w:numPr>
        <w:tabs>
          <w:tab w:val="clear" w:pos="1296"/>
          <w:tab w:val="left" w:pos="426" w:leader="none"/>
        </w:tabs>
        <w:spacing w:before="0" w:after="60"/>
        <w:ind w:firstLine="426" w:left="0"/>
        <w:contextualSpacing/>
        <w:jc w:val="both"/>
        <w:rPr>
          <w:rFonts w:ascii="Arial" w:hAnsi="Arial" w:cs="Arial"/>
          <w:sz w:val="22"/>
          <w:szCs w:val="22"/>
        </w:rPr>
      </w:pPr>
      <w:r>
        <w:rPr>
          <w:rFonts w:cs="Arial" w:ascii="Arial" w:hAnsi="Arial"/>
          <w:sz w:val="22"/>
          <w:szCs w:val="22"/>
        </w:rPr>
        <w:t>Ryšio stiprinimo sprendimo gedimų / sutrikimų šalinimas darbo metu  – iki 16 d. val. po reakcijos, jei į gedimo / sutrikimo vietą reikia vykti fiziškai;</w:t>
      </w:r>
    </w:p>
    <w:p>
      <w:pPr>
        <w:pStyle w:val="ListParagraph"/>
        <w:numPr>
          <w:ilvl w:val="0"/>
          <w:numId w:val="12"/>
        </w:numPr>
        <w:tabs>
          <w:tab w:val="clear" w:pos="1296"/>
          <w:tab w:val="left" w:pos="426" w:leader="none"/>
        </w:tabs>
        <w:spacing w:before="0" w:after="60"/>
        <w:ind w:firstLine="426" w:left="0"/>
        <w:contextualSpacing/>
        <w:jc w:val="both"/>
        <w:rPr>
          <w:rFonts w:ascii="Arial" w:hAnsi="Arial" w:cs="Arial"/>
          <w:sz w:val="22"/>
          <w:szCs w:val="22"/>
        </w:rPr>
      </w:pPr>
      <w:r>
        <w:rPr>
          <w:rFonts w:cs="Arial" w:ascii="Arial" w:hAnsi="Arial"/>
          <w:sz w:val="22"/>
          <w:szCs w:val="22"/>
        </w:rPr>
        <w:t>Reakcija – Reakcijos trukmė suprantama kaip laiko tarpas nuo Pirkėjo pranešimo apie ryšio stiprinimo sprendimo gedimą / sutrikimą registracijos momento iki jo sprendimo pradžios.</w:t>
      </w:r>
    </w:p>
    <w:p>
      <w:pPr>
        <w:pStyle w:val="ListParagraph"/>
        <w:numPr>
          <w:ilvl w:val="0"/>
          <w:numId w:val="12"/>
        </w:numPr>
        <w:tabs>
          <w:tab w:val="clear" w:pos="1296"/>
          <w:tab w:val="left" w:pos="426" w:leader="none"/>
        </w:tabs>
        <w:spacing w:before="0" w:after="60"/>
        <w:ind w:firstLine="426" w:left="0"/>
        <w:contextualSpacing/>
        <w:jc w:val="both"/>
        <w:rPr>
          <w:rFonts w:ascii="Arial" w:hAnsi="Arial" w:cs="Arial"/>
          <w:sz w:val="22"/>
          <w:szCs w:val="22"/>
        </w:rPr>
      </w:pPr>
      <w:r>
        <w:rPr>
          <w:rFonts w:cs="Arial" w:ascii="Arial" w:hAnsi="Arial"/>
          <w:sz w:val="22"/>
          <w:szCs w:val="22"/>
        </w:rPr>
        <w:t>Tiekėjas su Pirkėju (raštu, el. paštu) gali susiderinti kitus, Pirkėjui priimtinus, gedimų / sutrikimų pašalinimo terminus.</w:t>
      </w:r>
    </w:p>
    <w:p>
      <w:pPr>
        <w:pStyle w:val="ListParagraph"/>
        <w:tabs>
          <w:tab w:val="clear" w:pos="1296"/>
          <w:tab w:val="left" w:pos="0" w:leader="none"/>
        </w:tabs>
        <w:spacing w:before="0" w:after="60"/>
        <w:ind w:firstLine="567" w:left="0"/>
        <w:contextualSpacing/>
        <w:jc w:val="both"/>
        <w:rPr>
          <w:rFonts w:ascii="Arial" w:hAnsi="Arial" w:cs="Arial"/>
          <w:sz w:val="22"/>
          <w:szCs w:val="22"/>
        </w:rPr>
      </w:pPr>
      <w:r>
        <w:rPr>
          <w:rFonts w:cs="Arial" w:ascii="Arial" w:hAnsi="Arial"/>
          <w:sz w:val="22"/>
          <w:szCs w:val="22"/>
        </w:rPr>
        <w:t xml:space="preserve">3.2.4. Negarantiniai darbai – pagal papildomų darbų / medžiagų kainininką arba atskirą pasiūlymą. </w:t>
      </w:r>
    </w:p>
    <w:p>
      <w:pPr>
        <w:pStyle w:val="ListParagraph"/>
        <w:numPr>
          <w:ilvl w:val="0"/>
          <w:numId w:val="3"/>
        </w:numPr>
        <w:tabs>
          <w:tab w:val="clear" w:pos="1296"/>
          <w:tab w:val="left" w:pos="0" w:leader="none"/>
        </w:tabs>
        <w:spacing w:before="0" w:after="60"/>
        <w:ind w:hanging="0" w:left="0"/>
        <w:contextualSpacing/>
        <w:jc w:val="both"/>
        <w:rPr>
          <w:rFonts w:ascii="Arial" w:hAnsi="Arial" w:eastAsia="Calibri" w:cs="Arial" w:eastAsiaTheme="minorHAnsi"/>
          <w:color w:val="auto"/>
          <w:sz w:val="22"/>
          <w:szCs w:val="22"/>
          <w:lang w:eastAsia="ja-JP"/>
        </w:rPr>
      </w:pPr>
      <w:r>
        <w:rPr>
          <w:rFonts w:eastAsia="Calibri" w:cs="Arial" w:ascii="Arial" w:hAnsi="Arial" w:eastAsiaTheme="minorHAnsi"/>
          <w:color w:val="auto"/>
          <w:sz w:val="22"/>
          <w:szCs w:val="22"/>
          <w:lang w:eastAsia="ja-JP"/>
        </w:rPr>
        <w:t xml:space="preserve">Ryšio stiprinimo sprendimo techniniai reikalavimai: </w:t>
      </w:r>
    </w:p>
    <w:p>
      <w:pPr>
        <w:pStyle w:val="ListParagraph"/>
        <w:tabs>
          <w:tab w:val="clear" w:pos="1296"/>
          <w:tab w:val="left" w:pos="993" w:leader="none"/>
        </w:tabs>
        <w:spacing w:before="0" w:after="60"/>
        <w:contextualSpacing/>
        <w:jc w:val="both"/>
        <w:rPr>
          <w:rFonts w:ascii="Arial" w:hAnsi="Arial" w:eastAsia="Calibri" w:cs="Arial" w:eastAsiaTheme="minorHAnsi"/>
          <w:color w:val="auto"/>
          <w:sz w:val="22"/>
          <w:szCs w:val="22"/>
          <w:lang w:eastAsia="ja-JP"/>
        </w:rPr>
      </w:pPr>
      <w:r>
        <w:rPr>
          <w:rFonts w:eastAsia="Calibri" w:cs="Arial" w:eastAsiaTheme="minorHAnsi" w:ascii="Arial" w:hAnsi="Arial"/>
          <w:color w:val="auto"/>
          <w:sz w:val="22"/>
          <w:szCs w:val="22"/>
          <w:lang w:eastAsia="ja-JP"/>
        </w:rPr>
      </w:r>
    </w:p>
    <w:tbl>
      <w:tblPr>
        <w:tblW w:w="963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705"/>
        <w:gridCol w:w="2404"/>
        <w:gridCol w:w="6525"/>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Arial" w:hAnsi="Arial" w:eastAsia="Times New Roman" w:cs="Arial"/>
                <w:sz w:val="22"/>
                <w:szCs w:val="22"/>
                <w:highlight w:val="white"/>
              </w:rPr>
            </w:pPr>
            <w:r>
              <w:rPr>
                <w:rFonts w:ascii="Arial" w:hAnsi="Arial"/>
                <w:b/>
              </w:rPr>
              <w:t>Eil. Nr.</w:t>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Times New Roman" w:cs="Arial"/>
                <w:sz w:val="22"/>
                <w:szCs w:val="22"/>
                <w:highlight w:val="white"/>
              </w:rPr>
            </w:pPr>
            <w:r>
              <w:rPr>
                <w:rFonts w:ascii="Arial" w:hAnsi="Arial"/>
                <w:b/>
              </w:rPr>
              <w:t>Specifikacija</w:t>
            </w:r>
          </w:p>
        </w:tc>
        <w:tc>
          <w:tcPr>
            <w:tcW w:w="6525" w:type="dxa"/>
            <w:tcBorders>
              <w:top w:val="single" w:sz="4" w:space="0" w:color="000000"/>
              <w:left w:val="single" w:sz="4" w:space="0" w:color="000000"/>
              <w:bottom w:val="single" w:sz="4" w:space="0" w:color="000000"/>
              <w:right w:val="single" w:sz="4" w:space="0" w:color="000000"/>
            </w:tcBorders>
          </w:tcPr>
          <w:p>
            <w:pPr>
              <w:pStyle w:val="Normal"/>
              <w:ind w:right="1546"/>
              <w:jc w:val="both"/>
              <w:rPr>
                <w:rFonts w:ascii="Arial" w:hAnsi="Arial" w:eastAsia="Times New Roman" w:cs="Arial"/>
                <w:sz w:val="22"/>
                <w:szCs w:val="22"/>
              </w:rPr>
            </w:pPr>
            <w:r>
              <w:rPr>
                <w:rFonts w:ascii="Arial" w:hAnsi="Arial"/>
                <w:b/>
              </w:rPr>
              <w:t>Reikalavimai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 xml:space="preserve">Stiprintuvas </w:t>
            </w:r>
            <w:r>
              <w:rPr>
                <w:rFonts w:cs="Arial" w:ascii="Arial" w:hAnsi="Arial"/>
                <w:color w:val="auto"/>
                <w:sz w:val="22"/>
                <w:szCs w:val="22"/>
              </w:rPr>
              <w:t>(800 MHz dažnių juostos)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ascii="Arial" w:hAnsi="Arial"/>
                <w:bCs/>
                <w:sz w:val="22"/>
                <w:szCs w:val="22"/>
              </w:rPr>
              <w:t>Pavadinimai/modeliai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Tinkamas 800 MHz GSM (2G) ir 800 MHz LTE (4G) ryšio stiprinimui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Stiprintuvo galia (</w:t>
            </w:r>
            <w:r>
              <w:rPr>
                <w:rFonts w:eastAsia="Calibri" w:cs="Arial" w:ascii="Arial" w:hAnsi="Arial"/>
                <w:sz w:val="22"/>
                <w:szCs w:val="22"/>
              </w:rPr>
              <w:t>(output Power))</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Ne mažiau 15dBm</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Automatinė apsauga nuo trikdžių.</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Galimybė pajungti išorinę vidinę anteną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Automatinis išsijungimas, budėjimo rėžimas.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Apsauga slaptažodžiu, su galimybe pakeisti gamyklinį slaptažodį.</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 xml:space="preserve">Stiprintuvas </w:t>
            </w:r>
            <w:r>
              <w:rPr>
                <w:rFonts w:cs="Arial" w:ascii="Arial" w:hAnsi="Arial"/>
                <w:color w:val="auto"/>
                <w:sz w:val="22"/>
                <w:szCs w:val="22"/>
              </w:rPr>
              <w:t>(900 MHz dažnių juostos)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ascii="Arial" w:hAnsi="Arial"/>
                <w:bCs/>
                <w:sz w:val="22"/>
                <w:szCs w:val="22"/>
              </w:rPr>
              <w:t>Pavadinimai/modeliai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Tinkamas 900 MHz GSM (2G) ir 900 MHz LTE (4G) ryšio stiprinimui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Stiprintuvo galia (</w:t>
            </w:r>
            <w:r>
              <w:rPr>
                <w:rFonts w:eastAsia="Calibri" w:cs="Arial" w:ascii="Arial" w:hAnsi="Arial"/>
                <w:sz w:val="22"/>
                <w:szCs w:val="22"/>
              </w:rPr>
              <w:t>(output Power))</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Ne mažiau 15dBm</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Automatinė apsauga nuo trikdžių.</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Galimybė pajungti išorinę vidinę anteną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Automatinis išsijungimas, budėjimo rėžimas.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Apsauga slaptažodžiu, su galimybe pakeisti gamyklinį slaptažodį.</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 xml:space="preserve">Stiprintuvas </w:t>
            </w:r>
            <w:r>
              <w:rPr>
                <w:rFonts w:cs="Arial" w:ascii="Arial" w:hAnsi="Arial"/>
                <w:color w:val="auto"/>
                <w:sz w:val="22"/>
                <w:szCs w:val="22"/>
              </w:rPr>
              <w:t>(1800 MHz dažnių juostos)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ascii="Arial" w:hAnsi="Arial"/>
                <w:bCs/>
                <w:sz w:val="22"/>
                <w:szCs w:val="22"/>
              </w:rPr>
              <w:t>Pavadinimai/modeliai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Tinkamas 1800 MHz GSM (2G) ir 900 MHz LTE (4G) ryšio stiprinimui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Stiprintuvo galia (</w:t>
            </w:r>
            <w:r>
              <w:rPr>
                <w:rFonts w:eastAsia="Calibri" w:cs="Arial" w:ascii="Arial" w:hAnsi="Arial"/>
                <w:sz w:val="22"/>
                <w:szCs w:val="22"/>
              </w:rPr>
              <w:t>(output Power))</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Ne mažiau 15dBm</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Automatinė apsauga nuo trikdžių.</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Galimybė pajungti išorinę vidinę anteną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Automatinis išsijungimas, budėjimo rėžimas.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3"/>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Apsauga slaptažodžiu, su galimybe pakeisti gamyklinį slaptažodį.</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 xml:space="preserve">Stiprintuvas </w:t>
            </w:r>
            <w:r>
              <w:rPr>
                <w:rFonts w:cs="Arial" w:ascii="Arial" w:hAnsi="Arial"/>
                <w:color w:val="auto"/>
                <w:sz w:val="22"/>
                <w:szCs w:val="22"/>
              </w:rPr>
              <w:t>(</w:t>
            </w:r>
            <w:r>
              <w:rPr>
                <w:rFonts w:cs="Arial" w:ascii="Arial" w:hAnsi="Arial"/>
                <w:color w:val="auto"/>
                <w:sz w:val="22"/>
                <w:szCs w:val="22"/>
                <w:lang w:val="en-US"/>
              </w:rPr>
              <w:t>8</w:t>
            </w:r>
            <w:r>
              <w:rPr>
                <w:rFonts w:cs="Arial" w:ascii="Arial" w:hAnsi="Arial"/>
                <w:color w:val="auto"/>
                <w:sz w:val="22"/>
                <w:szCs w:val="22"/>
              </w:rPr>
              <w:t>00 MHz ir 900 MHz dažnių juostos))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ascii="Arial" w:hAnsi="Arial"/>
                <w:bCs/>
                <w:sz w:val="22"/>
                <w:szCs w:val="22"/>
              </w:rPr>
              <w:t>Pavadinimai/modeliai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Tinkamas 800 MHz GSM (2G), 800 MHz LTE (4G) bei 900 MHz GSM (2G) ir 900 MHz LTE (4G) ryšio stiprinimui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Stiprintuvo galia (</w:t>
            </w:r>
            <w:r>
              <w:rPr>
                <w:rFonts w:eastAsia="Calibri" w:cs="Arial" w:ascii="Arial" w:hAnsi="Arial"/>
                <w:sz w:val="22"/>
                <w:szCs w:val="22"/>
              </w:rPr>
              <w:t>(output Power))</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Ne mažiau 15dBm</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Automatinė apsauga nuo trikdžių.</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Galimybė pajungti išorinę vidinę anteną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Automatinis išsijungimas, budėjimo rėžimas.</w:t>
            </w:r>
            <w:bookmarkStart w:id="2" w:name="_Hlk223087752"/>
            <w:bookmarkEnd w:id="2"/>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Apsauga slaptažodžiu, su galimybe pakeisti gamyklinį slaptažodį.</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 xml:space="preserve">Stiprintuvas </w:t>
            </w:r>
            <w:r>
              <w:rPr>
                <w:rFonts w:cs="Arial" w:ascii="Arial" w:hAnsi="Arial"/>
                <w:color w:val="auto"/>
                <w:sz w:val="22"/>
                <w:szCs w:val="22"/>
              </w:rPr>
              <w:t>(900 MHz ir 1800 MHz dažnių juostos))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ascii="Arial" w:hAnsi="Arial"/>
                <w:bCs/>
                <w:sz w:val="22"/>
                <w:szCs w:val="22"/>
              </w:rPr>
              <w:t>Pavadinimai/modeliai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Tinkamas 900 MHz GSM (2G), 900 MHz LTE (4G) bei 1800 MHz GSM (2G) ir 1800 MHz LTE (4G) ryšio stiprinimui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Stiprintuvo galia (</w:t>
            </w:r>
            <w:r>
              <w:rPr>
                <w:rFonts w:eastAsia="Calibri" w:cs="Arial" w:ascii="Arial" w:hAnsi="Arial"/>
                <w:sz w:val="22"/>
                <w:szCs w:val="22"/>
              </w:rPr>
              <w:t>(output Power))</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Ne mažiau 15dBm</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Automatinė apsauga nuo trikdžių.</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Galimybė pajungti išorinę vidinę anteną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Automatinis išsijungimas, budėjimo rėžimas.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Apsauga slaptažodžiu, su galimybe pakeisti gamyklinį slaptažodį.</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Lauko antena</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yellow"/>
              </w:rPr>
            </w:pPr>
            <w:r>
              <w:rPr>
                <w:rFonts w:ascii="Arial" w:hAnsi="Arial"/>
                <w:bCs/>
                <w:sz w:val="22"/>
                <w:szCs w:val="22"/>
              </w:rPr>
              <w:t>Pavadinimas/modelis</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highlight w:val="yellow"/>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Stiprinimas maks.</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Ne mažiau 10 dBi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Varža</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50 Ω</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 siūlomai įrangai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 lauko sąlygoms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Tinkama 2G, 4G ryšio stiprinimui.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eastAsia="Times New Roman" w:cs="Arial"/>
                <w:sz w:val="22"/>
                <w:szCs w:val="22"/>
              </w:rPr>
            </w:pPr>
            <w:r>
              <w:rPr>
                <w:rFonts w:eastAsia="Times New Roman" w:cs="Arial" w:ascii="Arial" w:hAnsi="Arial"/>
                <w:sz w:val="22"/>
                <w:szCs w:val="22"/>
              </w:rPr>
              <w:t>Vidaus antena</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yellow"/>
              </w:rPr>
            </w:pPr>
            <w:r>
              <w:rPr>
                <w:rFonts w:ascii="Arial" w:hAnsi="Arial"/>
                <w:bCs/>
                <w:sz w:val="22"/>
                <w:szCs w:val="22"/>
              </w:rPr>
              <w:t>Pavadinimas/modelis</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highlight w:val="yellow"/>
              </w:rPr>
            </w:pPr>
            <w:r>
              <w:rPr>
                <w:rFonts w:ascii="Arial" w:hAnsi="Arial"/>
                <w:bCs/>
                <w:sz w:val="22"/>
                <w:szCs w:val="22"/>
              </w:rPr>
              <w:t>Nurodyti sprendimo įrangos komponentų pavadinimą/modelį.</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Varža</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50 Ω</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 siūlomai įrangai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5"/>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Tinkama 2G, 4G ryšio stiprinimui.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eastAsia="Times New Roman" w:cs="Arial"/>
                <w:sz w:val="22"/>
                <w:szCs w:val="22"/>
                <w:highlight w:val="white"/>
              </w:rPr>
            </w:pPr>
            <w:r>
              <w:rPr>
                <w:rFonts w:eastAsia="Times New Roman" w:cs="Arial" w:ascii="Arial" w:hAnsi="Arial"/>
                <w:sz w:val="22"/>
                <w:szCs w:val="22"/>
                <w:highlight w:val="white"/>
              </w:rPr>
              <w:t>Atšakotuvas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Varža</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50 Ω</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Pritaikytas siūlomai įrangai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Koaksialinis kabelis arba lygiavertis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Varža</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50 Ω</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Pritaikytas siūlomai įrangai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eastAsia="Times New Roman" w:cs="Arial"/>
                <w:sz w:val="22"/>
                <w:szCs w:val="22"/>
                <w:highlight w:val="white"/>
              </w:rPr>
            </w:pPr>
            <w:r>
              <w:rPr>
                <w:rFonts w:eastAsia="Times New Roman" w:cs="Arial" w:ascii="Arial" w:hAnsi="Arial"/>
                <w:sz w:val="22"/>
                <w:szCs w:val="22"/>
                <w:highlight w:val="white"/>
              </w:rPr>
              <w:t>Žaibo apsauga</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50 Ω</w:t>
            </w:r>
          </w:p>
        </w:tc>
      </w:tr>
      <w:tr>
        <w:trPr/>
        <w:tc>
          <w:tcPr>
            <w:tcW w:w="70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rFonts w:ascii="Arial" w:hAnsi="Arial" w:eastAsia="Times New Roman" w:cs="Arial"/>
                <w:sz w:val="22"/>
                <w:szCs w:val="22"/>
                <w:highlight w:val="white"/>
              </w:rPr>
            </w:pPr>
            <w:r>
              <w:rPr>
                <w:rFonts w:eastAsia="Times New Roman" w:cs="Arial" w:ascii="Arial" w:hAnsi="Arial"/>
                <w:sz w:val="22"/>
                <w:szCs w:val="22"/>
                <w:highlight w:val="white"/>
              </w:rPr>
            </w:r>
          </w:p>
        </w:tc>
        <w:tc>
          <w:tcPr>
            <w:tcW w:w="2404"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highlight w:val="white"/>
              </w:rPr>
            </w:pPr>
            <w:r>
              <w:rPr>
                <w:rFonts w:eastAsia="Calibri" w:cs="Arial" w:ascii="Arial" w:hAnsi="Arial"/>
                <w:sz w:val="22"/>
                <w:szCs w:val="22"/>
                <w:highlight w:val="white"/>
              </w:rPr>
              <w:t>Turi būti</w:t>
            </w:r>
          </w:p>
        </w:tc>
        <w:tc>
          <w:tcPr>
            <w:tcW w:w="6525" w:type="dxa"/>
            <w:tcBorders>
              <w:top w:val="single" w:sz="4" w:space="0" w:color="000000"/>
              <w:left w:val="single" w:sz="4" w:space="0" w:color="000000"/>
              <w:bottom w:val="single" w:sz="4" w:space="0" w:color="000000"/>
              <w:right w:val="single" w:sz="4" w:space="0" w:color="000000"/>
            </w:tcBorders>
          </w:tcPr>
          <w:p>
            <w:pPr>
              <w:pStyle w:val="Normal"/>
              <w:widowControl w:val="false"/>
              <w:ind w:hanging="90"/>
              <w:jc w:val="both"/>
              <w:rPr>
                <w:rFonts w:ascii="Arial" w:hAnsi="Arial" w:eastAsia="Times New Roman" w:cs="Arial"/>
                <w:sz w:val="22"/>
                <w:szCs w:val="22"/>
              </w:rPr>
            </w:pPr>
            <w:r>
              <w:rPr>
                <w:rFonts w:eastAsia="Times New Roman" w:cs="Arial" w:ascii="Arial" w:hAnsi="Arial"/>
                <w:sz w:val="22"/>
                <w:szCs w:val="22"/>
              </w:rPr>
              <w:t>Pritaikytas siūlomai įrangai</w:t>
            </w:r>
          </w:p>
        </w:tc>
      </w:tr>
      <w:tr>
        <w:trPr/>
        <w:tc>
          <w:tcPr>
            <w:tcW w:w="963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eastAsia="Calibri" w:cs="Arial"/>
                <w:sz w:val="22"/>
                <w:szCs w:val="22"/>
                <w:highlight w:val="white"/>
              </w:rPr>
            </w:pPr>
            <w:r>
              <w:rPr>
                <w:rFonts w:eastAsia="Calibri" w:cs="Arial" w:ascii="Arial" w:hAnsi="Arial"/>
                <w:sz w:val="22"/>
                <w:szCs w:val="22"/>
                <w:highlight w:val="white"/>
              </w:rPr>
              <w:t>Stovas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Arial" w:hAnsi="Arial" w:eastAsia="Times New Roman" w:cs="Arial"/>
                <w:sz w:val="22"/>
                <w:szCs w:val="22"/>
                <w:highlight w:val="white"/>
              </w:rPr>
            </w:pPr>
            <w:r>
              <w:rPr>
                <w:rFonts w:eastAsia="Times New Roman" w:cs="Arial" w:ascii="Arial" w:hAnsi="Arial"/>
                <w:sz w:val="22"/>
                <w:szCs w:val="22"/>
                <w:highlight w:val="white"/>
              </w:rPr>
              <w:t>1.</w:t>
            </w:r>
          </w:p>
        </w:tc>
        <w:tc>
          <w:tcPr>
            <w:tcW w:w="8929"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eastAsia="Calibri" w:cs="Arial"/>
                <w:sz w:val="22"/>
                <w:szCs w:val="22"/>
                <w:highlight w:val="white"/>
              </w:rPr>
            </w:pPr>
            <w:r>
              <w:rPr>
                <w:rFonts w:eastAsia="Calibri" w:cs="Arial" w:ascii="Arial" w:hAnsi="Arial"/>
                <w:sz w:val="22"/>
                <w:szCs w:val="22"/>
                <w:highlight w:val="white"/>
              </w:rPr>
              <w:t>Skirtas montuoti prie lauko sienos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Arial" w:hAnsi="Arial" w:eastAsia="Times New Roman" w:cs="Arial"/>
                <w:sz w:val="22"/>
                <w:szCs w:val="22"/>
                <w:highlight w:val="white"/>
              </w:rPr>
            </w:pPr>
            <w:r>
              <w:rPr>
                <w:rFonts w:eastAsia="Times New Roman" w:cs="Arial" w:ascii="Arial" w:hAnsi="Arial"/>
                <w:sz w:val="22"/>
                <w:szCs w:val="22"/>
                <w:highlight w:val="white"/>
              </w:rPr>
              <w:t>2.</w:t>
            </w:r>
          </w:p>
        </w:tc>
        <w:tc>
          <w:tcPr>
            <w:tcW w:w="8929"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eastAsia="Calibri" w:cs="Arial"/>
                <w:sz w:val="22"/>
                <w:szCs w:val="22"/>
                <w:highlight w:val="white"/>
              </w:rPr>
            </w:pPr>
            <w:r>
              <w:rPr>
                <w:rFonts w:eastAsia="Calibri" w:cs="Arial" w:ascii="Arial" w:hAnsi="Arial"/>
                <w:sz w:val="22"/>
                <w:szCs w:val="22"/>
                <w:highlight w:val="white"/>
              </w:rPr>
              <w:t>Plieninis, cinkuotas</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Arial" w:hAnsi="Arial" w:eastAsia="Times New Roman" w:cs="Arial"/>
                <w:sz w:val="22"/>
                <w:szCs w:val="22"/>
                <w:highlight w:val="white"/>
              </w:rPr>
            </w:pPr>
            <w:r>
              <w:rPr>
                <w:rFonts w:eastAsia="Times New Roman" w:cs="Arial" w:ascii="Arial" w:hAnsi="Arial"/>
                <w:sz w:val="22"/>
                <w:szCs w:val="22"/>
                <w:highlight w:val="white"/>
              </w:rPr>
              <w:t>3.</w:t>
            </w:r>
          </w:p>
        </w:tc>
        <w:tc>
          <w:tcPr>
            <w:tcW w:w="892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right="103"/>
              <w:jc w:val="both"/>
              <w:rPr>
                <w:rFonts w:ascii="Arial" w:hAnsi="Arial" w:eastAsia="Times New Roman" w:cs="Arial"/>
                <w:sz w:val="22"/>
                <w:szCs w:val="22"/>
                <w:highlight w:val="white"/>
              </w:rPr>
            </w:pPr>
            <w:r>
              <w:rPr>
                <w:rFonts w:eastAsia="Calibri" w:cs="Arial" w:ascii="Arial" w:hAnsi="Arial"/>
                <w:sz w:val="22"/>
                <w:szCs w:val="22"/>
                <w:highlight w:val="white"/>
              </w:rPr>
              <w:t xml:space="preserve">Pritaikytas </w:t>
            </w:r>
            <w:r>
              <w:rPr>
                <w:rFonts w:eastAsia="Times New Roman" w:cs="Arial" w:ascii="Arial" w:hAnsi="Arial"/>
                <w:sz w:val="22"/>
                <w:szCs w:val="22"/>
              </w:rPr>
              <w:t>siūlomai įrangai</w:t>
            </w:r>
          </w:p>
        </w:tc>
      </w:tr>
    </w:tbl>
    <w:p>
      <w:pPr>
        <w:pStyle w:val="Normal"/>
        <w:spacing w:before="0" w:after="60"/>
        <w:rPr>
          <w:rFonts w:ascii="Arial" w:hAnsi="Arial" w:eastAsia="Calibri" w:cs="Arial" w:eastAsiaTheme="minorHAnsi"/>
          <w:color w:val="auto"/>
          <w:sz w:val="22"/>
          <w:szCs w:val="22"/>
          <w:lang w:eastAsia="ja-JP"/>
        </w:rPr>
      </w:pPr>
      <w:r>
        <w:rPr>
          <w:rFonts w:eastAsia="Calibri" w:cs="Arial" w:eastAsiaTheme="minorHAnsi" w:ascii="Arial" w:hAnsi="Arial"/>
          <w:color w:val="auto"/>
          <w:sz w:val="22"/>
          <w:szCs w:val="22"/>
          <w:lang w:eastAsia="ja-JP"/>
        </w:rPr>
      </w:r>
    </w:p>
    <w:p>
      <w:pPr>
        <w:pStyle w:val="Normal"/>
        <w:tabs>
          <w:tab w:val="clear" w:pos="1296"/>
          <w:tab w:val="left" w:pos="3840" w:leader="none"/>
        </w:tabs>
        <w:spacing w:before="0" w:after="60"/>
        <w:rPr>
          <w:rFonts w:ascii="Arial" w:hAnsi="Arial" w:cs="Arial"/>
          <w:b/>
          <w:bCs/>
          <w:color w:val="auto"/>
          <w:sz w:val="22"/>
          <w:szCs w:val="22"/>
        </w:rPr>
      </w:pPr>
      <w:r>
        <w:rPr>
          <w:rFonts w:eastAsia="Calibri" w:cs="Arial" w:ascii="Arial" w:hAnsi="Arial" w:eastAsiaTheme="minorHAnsi"/>
          <w:b/>
          <w:bCs/>
          <w:color w:val="auto"/>
          <w:sz w:val="22"/>
          <w:szCs w:val="22"/>
          <w:lang w:eastAsia="ja-JP"/>
        </w:rPr>
        <w:t xml:space="preserve">4. </w:t>
      </w:r>
      <w:r>
        <w:rPr>
          <w:rFonts w:cs="Arial" w:ascii="Arial" w:hAnsi="Arial"/>
          <w:b/>
          <w:bCs/>
          <w:color w:val="auto"/>
          <w:sz w:val="22"/>
          <w:szCs w:val="22"/>
        </w:rPr>
        <w:t>APLINKOSAUGINIAI REIKALAVIMAI:</w:t>
        <w:tab/>
      </w:r>
    </w:p>
    <w:p>
      <w:pPr>
        <w:pStyle w:val="Normal"/>
        <w:spacing w:before="60" w:after="60"/>
        <w:contextualSpacing/>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 xml:space="preserve">4.1. Vykdomas žaliasis pirkimas  </w:t>
      </w:r>
      <w:r>
        <w:rPr>
          <w:rFonts w:eastAsia="Calibri" w:cs="Arial" w:ascii="Arial" w:hAnsi="Arial"/>
          <w:color w:val="auto"/>
          <w:sz w:val="22"/>
          <w:szCs w:val="22"/>
          <w:lang w:eastAsia="en-US"/>
        </w:rPr>
        <w:t>pagal Lietuvos Respublikos aplinkos ministro 2011 m. birželio 28 d. įsakymu Nr. D1-508 patvirtintą „Aplinkos apsaugos kriterijų taikymo, vykdant žaliuosius pirkimus, tvarkos aprašą“ (toliau – Tvarkos aprašas) 4.4.4 punktą</w:t>
      </w:r>
      <w:r>
        <w:rPr>
          <w:rFonts w:eastAsia="Calibri" w:cs="Arial" w:ascii="Arial" w:hAnsi="Arial"/>
          <w:iCs/>
          <w:color w:val="auto"/>
          <w:sz w:val="22"/>
          <w:szCs w:val="22"/>
          <w:lang w:eastAsia="en-US"/>
        </w:rPr>
        <w:t xml:space="preserve">. </w:t>
      </w:r>
    </w:p>
    <w:p>
      <w:pPr>
        <w:pStyle w:val="Normal"/>
        <w:spacing w:before="60" w:after="60"/>
        <w:contextualSpacing/>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Perkančioji organizacija siekia įsigyti prekes, darančias kuo mažesnį poveikį aplinkai, kad prekes teikiant būtų sunaudojama kuo mažiau gamtos išteklių, todėl nustato šiuos reikalavimus:</w:t>
      </w:r>
    </w:p>
    <w:p>
      <w:pPr>
        <w:pStyle w:val="Normal"/>
        <w:spacing w:before="60" w:after="60"/>
        <w:contextualSpacing/>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 xml:space="preserve">4.1.1. </w:t>
      </w:r>
      <w:r>
        <w:rPr>
          <w:rFonts w:eastAsia="Calibri" w:cs="Arial" w:ascii="Arial" w:hAnsi="Arial"/>
          <w:b/>
          <w:bCs/>
          <w:iCs/>
          <w:color w:val="auto"/>
          <w:sz w:val="22"/>
          <w:szCs w:val="22"/>
          <w:lang w:eastAsia="en-US"/>
        </w:rPr>
        <w:t>prekė yra tvirta, ilgaamžė, funkcionali, ji ar jos sudedamosios dalys tinka naudoti daug kartų ir (ar) lengvai pataisomos, ir (ar) pakeičiamos.</w:t>
      </w:r>
      <w:r>
        <w:rPr>
          <w:rFonts w:eastAsia="Calibri" w:cs="Arial" w:ascii="Arial" w:hAnsi="Arial"/>
          <w:iCs/>
          <w:color w:val="auto"/>
          <w:sz w:val="22"/>
          <w:szCs w:val="22"/>
          <w:lang w:eastAsia="en-US"/>
        </w:rPr>
        <w:t xml:space="preserve"> </w:t>
      </w:r>
      <w:r>
        <w:rPr>
          <w:rFonts w:eastAsia="Calibri" w:cs="Arial" w:ascii="Arial" w:hAnsi="Arial"/>
          <w:b/>
          <w:bCs/>
          <w:iCs/>
          <w:color w:val="auto"/>
          <w:sz w:val="22"/>
          <w:szCs w:val="22"/>
          <w:lang w:eastAsia="en-US"/>
        </w:rPr>
        <w:t>Tiekėjas turi užtikrinti galimybę įsigyti siūlomų prekių originalių (arba joms lygiaverčių) atsarginių dalių (jų tiekimą rinkai) ne trumpiau kaip 2 metus nuo prekių garantinio laikotarpio pabaigos</w:t>
      </w:r>
      <w:r>
        <w:rPr>
          <w:rFonts w:eastAsia="Calibri" w:cs="Arial" w:ascii="Arial" w:hAnsi="Arial"/>
          <w:iCs/>
          <w:color w:val="auto"/>
          <w:sz w:val="22"/>
          <w:szCs w:val="22"/>
          <w:lang w:eastAsia="en-US"/>
        </w:rPr>
        <w:t>, išskyrus atvejus, kai siūlomos prekių originalios (ar joms lygiavertės) atsarginės dalys dėl objektyvių priežasčių negali būti tiekiamos Lietuvos Respublikos rinkai.</w:t>
      </w:r>
    </w:p>
    <w:p>
      <w:pPr>
        <w:pStyle w:val="Normal"/>
        <w:spacing w:before="60" w:after="60"/>
        <w:contextualSpacing/>
        <w:jc w:val="both"/>
        <w:rPr>
          <w:rFonts w:ascii="Arial" w:hAnsi="Arial" w:eastAsia="Calibri" w:cs="Arial"/>
          <w:iCs/>
          <w:color w:val="auto"/>
          <w:sz w:val="22"/>
          <w:szCs w:val="22"/>
          <w:lang w:eastAsia="en-US"/>
        </w:rPr>
      </w:pPr>
      <w:r>
        <w:rPr>
          <w:rFonts w:eastAsia="Calibri" w:cs="Arial" w:ascii="Arial" w:hAnsi="Arial"/>
          <w:b/>
          <w:bCs/>
          <w:iCs/>
          <w:color w:val="auto"/>
          <w:sz w:val="22"/>
          <w:szCs w:val="22"/>
          <w:u w:val="single"/>
          <w:lang w:eastAsia="en-US"/>
        </w:rPr>
        <w:t>Kartu su pasiūlymu Tiekėjas turi pateikti atitiktį reikalavimams įrodančius dokumentus pasirinktinai</w:t>
      </w:r>
      <w:r>
        <w:rPr>
          <w:rFonts w:eastAsia="Calibri" w:cs="Arial" w:ascii="Arial" w:hAnsi="Arial"/>
          <w:b/>
          <w:bCs/>
          <w:iCs/>
          <w:color w:val="auto"/>
          <w:sz w:val="22"/>
          <w:szCs w:val="22"/>
          <w:lang w:eastAsia="en-US"/>
        </w:rPr>
        <w:t>:</w:t>
      </w:r>
      <w:r>
        <w:rPr>
          <w:rFonts w:eastAsia="Calibri" w:cs="Arial" w:ascii="Arial" w:hAnsi="Arial"/>
          <w:iCs/>
          <w:color w:val="auto"/>
          <w:sz w:val="22"/>
          <w:szCs w:val="22"/>
          <w:lang w:eastAsia="en-US"/>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pPr>
        <w:pStyle w:val="Normal"/>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4.1.2. bendravimas tarp Tiekėjo ir Pirkėjo bus vykdomas elektroninėmis priemonėmis (telefonu, elektroniniu paštu ar kt.);</w:t>
      </w:r>
    </w:p>
    <w:p>
      <w:pPr>
        <w:pStyle w:val="Normal"/>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4.1.3. dokumentacija teikiama Tiekėjui ir Pirkėjui elektroninėmis priemonėmis (elektoriniu paštu ar kt.).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nurodytus Tvarkos aprašo 2 priedo 1 skyriaus 1.1. ir 1.2. punktuose;</w:t>
      </w:r>
    </w:p>
    <w:p>
      <w:pPr>
        <w:pStyle w:val="Normal"/>
        <w:jc w:val="both"/>
        <w:rPr>
          <w:rFonts w:ascii="Arial" w:hAnsi="Arial" w:eastAsia="Calibri" w:cs="Arial"/>
          <w:iCs/>
          <w:color w:val="auto"/>
          <w:sz w:val="22"/>
          <w:szCs w:val="22"/>
          <w:lang w:eastAsia="en-US"/>
        </w:rPr>
      </w:pPr>
      <w:r>
        <w:rPr>
          <w:rFonts w:eastAsia="Calibri" w:cs="Arial" w:ascii="Arial" w:hAnsi="Arial"/>
          <w:iCs/>
          <w:color w:val="auto"/>
          <w:sz w:val="22"/>
          <w:szCs w:val="22"/>
          <w:lang w:eastAsia="en-US"/>
        </w:rPr>
        <w:t>4.1.4. sutartis bus pasirašoma tik elektroninėmis priemonėmis (kvalifikuotu el. parašu).</w:t>
      </w:r>
    </w:p>
    <w:p>
      <w:pPr>
        <w:pStyle w:val="Bodytext11"/>
        <w:shd w:val="clear" w:color="auto" w:fill="auto"/>
        <w:tabs>
          <w:tab w:val="clear" w:pos="1296"/>
          <w:tab w:val="left" w:pos="0" w:leader="none"/>
        </w:tabs>
        <w:spacing w:lineRule="auto" w:line="240" w:before="0" w:after="0"/>
        <w:ind w:hanging="0" w:right="55"/>
        <w:jc w:val="both"/>
        <w:rPr>
          <w:rFonts w:ascii="Arial" w:hAnsi="Arial" w:cs="Arial"/>
          <w:bCs/>
          <w:sz w:val="22"/>
          <w:szCs w:val="22"/>
        </w:rPr>
      </w:pPr>
      <w:r>
        <w:rPr>
          <w:rFonts w:cs="Arial" w:ascii="Arial" w:hAnsi="Arial"/>
          <w:bCs/>
          <w:sz w:val="22"/>
          <w:szCs w:val="22"/>
        </w:rPr>
      </w:r>
    </w:p>
    <w:p>
      <w:pPr>
        <w:pStyle w:val="Normal"/>
        <w:jc w:val="both"/>
        <w:rPr>
          <w:rFonts w:ascii="Arial" w:hAnsi="Arial" w:cs="Arial"/>
          <w:b/>
          <w:sz w:val="22"/>
          <w:szCs w:val="22"/>
        </w:rPr>
      </w:pPr>
      <w:r>
        <w:rPr>
          <w:rFonts w:cs="Arial" w:ascii="Arial" w:hAnsi="Arial"/>
          <w:b/>
          <w:sz w:val="22"/>
          <w:szCs w:val="22"/>
        </w:rPr>
        <w:t xml:space="preserve">5. REIKALAVIMAI, SUSIJĘ SU INFORMACIJOS (DUOMENŲ) SAUGUMU VYKDANT SUTARTĮ </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ListParagraph"/>
        <w:tabs>
          <w:tab w:val="clear" w:pos="1296"/>
          <w:tab w:val="left" w:pos="0" w:leader="none"/>
        </w:tabs>
        <w:suppressAutoHyphens w:val="true"/>
        <w:ind w:firstLine="709" w:left="0"/>
        <w:jc w:val="both"/>
        <w:textAlignment w:val="baseline"/>
        <w:rPr>
          <w:rFonts w:ascii="Arial" w:hAnsi="Arial" w:cs="Arial"/>
          <w:b/>
          <w:bCs/>
          <w:sz w:val="22"/>
          <w:szCs w:val="22"/>
        </w:rPr>
      </w:pPr>
      <w:r>
        <w:rPr>
          <w:rFonts w:cs="Arial" w:ascii="Arial" w:hAnsi="Arial"/>
          <w:sz w:val="22"/>
          <w:szCs w:val="22"/>
        </w:rPr>
        <w:t>5.1. Tiekėjas, teikdamas paslaugas pagal sutartį, turi užtikrinti nustatytų reikalavimų įgyvendinimą šiuose teisės aktuose:</w:t>
      </w:r>
    </w:p>
    <w:p>
      <w:pPr>
        <w:pStyle w:val="ListParagraph"/>
        <w:numPr>
          <w:ilvl w:val="2"/>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pPr>
        <w:pStyle w:val="ListParagraph"/>
        <w:numPr>
          <w:ilvl w:val="2"/>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Lietuvos Respublikos kibernetinio saugumo įstatyme;</w:t>
      </w:r>
    </w:p>
    <w:p>
      <w:pPr>
        <w:pStyle w:val="ListParagraph"/>
        <w:numPr>
          <w:ilvl w:val="2"/>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Kibernetinio saugumo reikalavimų apraše, patvirtintame Lietuvos Respublikos Vyriausybės 2018 m. rugpjūčio 13 d. nutarimu Nr. 818 „Dėl Lietuvos Respublikos kibernetinio saugumo įstatymo įgyvendinimo“;</w:t>
      </w:r>
    </w:p>
    <w:p>
      <w:pPr>
        <w:pStyle w:val="ListParagraph"/>
        <w:numPr>
          <w:ilvl w:val="2"/>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kituose Europos Sąjungos ir Lietuvos Respublikos teisės aktuose, reglamentuojančiuose tinklų, informacinių sistemų ir duomenų saugą, reikalavimus valdomų paslaugų teikėjams;</w:t>
      </w:r>
    </w:p>
    <w:p>
      <w:pPr>
        <w:pStyle w:val="ListParagraph"/>
        <w:numPr>
          <w:ilvl w:val="2"/>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 xml:space="preserve">Europos Komisijos priimtiems įgyvendinimo aktams, nustatantiems techninius ir metodinius reikalavimus. </w:t>
      </w:r>
    </w:p>
    <w:p>
      <w:pPr>
        <w:pStyle w:val="ListParagraph"/>
        <w:numPr>
          <w:ilvl w:val="1"/>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pPr>
        <w:pStyle w:val="ListParagraph"/>
        <w:numPr>
          <w:ilvl w:val="1"/>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Prieš pradėdami teikti paslaugas pagal sutartį Tiekėjo darbuotojai privalės pasirašyti Konfidencialumo pasižadėjimus.</w:t>
      </w:r>
    </w:p>
    <w:p>
      <w:pPr>
        <w:pStyle w:val="ListParagraph"/>
        <w:numPr>
          <w:ilvl w:val="1"/>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Tiekėjui viešai neskelbtina informacija teikiama tik tokios apimties, kuri būtina sutarčiai vykdyti. Tiekėjas turi imtis visų teisinių, techninių ir organizacinių priemonių iš Pirkėjo gautai informacijai apsaugoti.</w:t>
      </w:r>
    </w:p>
    <w:p>
      <w:pPr>
        <w:pStyle w:val="ListParagraph"/>
        <w:numPr>
          <w:ilvl w:val="1"/>
          <w:numId w:val="16"/>
        </w:numPr>
        <w:tabs>
          <w:tab w:val="clear" w:pos="1296"/>
          <w:tab w:val="left" w:pos="0" w:leader="none"/>
        </w:tabs>
        <w:suppressAutoHyphens w:val="true"/>
        <w:ind w:firstLine="709" w:left="0"/>
        <w:jc w:val="both"/>
        <w:textAlignment w:val="baseline"/>
        <w:rPr>
          <w:rFonts w:ascii="Arial" w:hAnsi="Arial" w:cs="Arial"/>
          <w:sz w:val="22"/>
          <w:szCs w:val="22"/>
        </w:rPr>
      </w:pPr>
      <w:r>
        <w:rPr>
          <w:rFonts w:cs="Arial" w:ascii="Arial" w:hAnsi="Arial"/>
          <w:sz w:val="22"/>
          <w:szCs w:val="22"/>
        </w:rPr>
        <w:t>Visi Techninės specifikacijos 5 punkte numatyti saugumo reikalavimai, taikomi Tiekėjui, yra taikomi ir jo subteikėjams ir kitais pagrindais pasitelkiamiems ūkio subjektams ir jų darbuotojams.</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Bodytext11"/>
        <w:numPr>
          <w:ilvl w:val="0"/>
          <w:numId w:val="16"/>
        </w:numPr>
        <w:shd w:val="clear" w:color="auto" w:fill="auto"/>
        <w:tabs>
          <w:tab w:val="clear" w:pos="1296"/>
          <w:tab w:val="left" w:pos="0" w:leader="none"/>
        </w:tabs>
        <w:spacing w:lineRule="auto" w:line="240" w:before="0" w:after="0"/>
        <w:ind w:hanging="540" w:left="540" w:right="55"/>
        <w:jc w:val="both"/>
        <w:rPr>
          <w:rFonts w:ascii="Arial" w:hAnsi="Arial" w:cs="Arial"/>
          <w:b/>
          <w:bCs/>
          <w:sz w:val="22"/>
          <w:szCs w:val="22"/>
        </w:rPr>
      </w:pPr>
      <w:r>
        <w:rPr>
          <w:rFonts w:eastAsia="Calibri" w:cs="Arial" w:ascii="Arial" w:hAnsi="Arial"/>
          <w:b/>
          <w:bCs/>
          <w:sz w:val="22"/>
          <w:szCs w:val="22"/>
        </w:rPr>
        <w:t>NACIONALINIO SAUGUMO REIKALAVIMAI</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             </w:t>
      </w:r>
      <w:r>
        <w:rPr>
          <w:rFonts w:eastAsia="Calibri" w:cs="Arial" w:ascii="Arial" w:hAnsi="Arial"/>
          <w:sz w:val="22"/>
          <w:szCs w:val="22"/>
        </w:rPr>
        <w:t>Pirkimo Objektas turi nekelti grėsmės nacionaliniam saugumui. Perkančioji organizacija laiko, kad prekės, paslaugos ir darbai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val="false"/>
          <w:bCs w:val="false"/>
          <w:sz w:val="22"/>
          <w:szCs w:val="22"/>
          <w:lang w:val="lt-LT" w:eastAsia="en-US"/>
        </w:rPr>
      </w:pPr>
      <w:r>
        <w:rPr>
          <w:rFonts w:cs="Arial" w:ascii="Arial" w:hAnsi="Arial"/>
          <w:b w:val="false"/>
          <w:bCs w:val="false"/>
          <w:sz w:val="22"/>
          <w:szCs w:val="22"/>
          <w:lang w:val="lt-LT" w:eastAsia="en-US"/>
        </w:rPr>
      </w:r>
    </w:p>
    <w:p>
      <w:pPr>
        <w:pStyle w:val="Bodytext11"/>
        <w:numPr>
          <w:ilvl w:val="0"/>
          <w:numId w:val="16"/>
        </w:numPr>
        <w:shd w:val="clear" w:color="auto" w:fill="auto"/>
        <w:tabs>
          <w:tab w:val="clear" w:pos="1296"/>
          <w:tab w:val="left" w:pos="0" w:leader="none"/>
        </w:tabs>
        <w:spacing w:lineRule="auto" w:line="240" w:before="0" w:after="0"/>
        <w:ind w:hanging="540" w:left="540" w:right="55"/>
        <w:jc w:val="both"/>
        <w:rPr>
          <w:rFonts w:ascii="Arial" w:hAnsi="Arial"/>
          <w:b/>
          <w:bCs/>
          <w:sz w:val="22"/>
          <w:szCs w:val="22"/>
          <w:lang w:val="lt-LT" w:eastAsia="en-US"/>
        </w:rPr>
      </w:pPr>
      <w:r>
        <w:rPr>
          <w:rFonts w:eastAsia="Calibri" w:ascii="Arial" w:hAnsi="Arial"/>
          <w:b/>
          <w:bCs/>
          <w:sz w:val="22"/>
          <w:szCs w:val="22"/>
          <w:lang w:val="lt-LT" w:eastAsia="en-US"/>
        </w:rPr>
        <w:t>Priedai:</w:t>
      </w:r>
    </w:p>
    <w:p>
      <w:pPr>
        <w:pStyle w:val="Bodytext11"/>
        <w:shd w:val="clear" w:color="auto" w:fill="auto"/>
        <w:tabs>
          <w:tab w:val="clear" w:pos="1296"/>
          <w:tab w:val="left" w:pos="0" w:leader="none"/>
        </w:tabs>
        <w:spacing w:lineRule="auto" w:line="240" w:before="0" w:after="0"/>
        <w:ind w:hanging="540" w:left="540" w:right="55"/>
        <w:jc w:val="both"/>
        <w:rPr>
          <w:rFonts w:eastAsia="Calibri"/>
        </w:rPr>
      </w:pPr>
      <w:r>
        <w:rPr>
          <w:rFonts w:eastAsia="Calibri"/>
        </w:rPr>
      </w:r>
    </w:p>
    <w:p>
      <w:pPr>
        <w:pStyle w:val="Bodytext11"/>
        <w:shd w:val="clear" w:color="auto" w:fill="auto"/>
        <w:tabs>
          <w:tab w:val="clear" w:pos="1296"/>
          <w:tab w:val="left" w:pos="0" w:leader="none"/>
        </w:tabs>
        <w:spacing w:lineRule="auto" w:line="240" w:before="0" w:after="0"/>
        <w:ind w:hanging="540" w:left="540" w:right="55"/>
        <w:jc w:val="both"/>
        <w:rPr>
          <w:rFonts w:ascii="Arial" w:hAnsi="Arial"/>
          <w:b/>
          <w:bCs/>
          <w:sz w:val="22"/>
          <w:szCs w:val="22"/>
          <w:lang w:val="lt-LT" w:eastAsia="en-US"/>
        </w:rPr>
      </w:pPr>
      <w:r>
        <w:rPr>
          <w:rFonts w:eastAsia="Calibri" w:ascii="Arial" w:hAnsi="Arial"/>
          <w:b/>
          <w:bCs/>
          <w:sz w:val="22"/>
          <w:szCs w:val="22"/>
          <w:lang w:val="lt-LT" w:eastAsia="en-US"/>
        </w:rPr>
        <w:t>1 priedas. Palyginamoji lentelė.</w:t>
      </w:r>
    </w:p>
    <w:p>
      <w:pPr>
        <w:pStyle w:val="Bodytext11"/>
        <w:shd w:val="clear" w:color="auto" w:fill="auto"/>
        <w:tabs>
          <w:tab w:val="clear" w:pos="1296"/>
          <w:tab w:val="left" w:pos="0" w:leader="none"/>
        </w:tabs>
        <w:spacing w:lineRule="auto" w:line="240" w:before="0" w:after="0"/>
        <w:ind w:hanging="0" w:right="55"/>
        <w:jc w:val="center"/>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0" w:leader="none"/>
        </w:tabs>
        <w:spacing w:lineRule="auto" w:line="240" w:before="0" w:after="0"/>
        <w:ind w:hanging="0" w:right="55"/>
        <w:jc w:val="center"/>
        <w:rPr>
          <w:rFonts w:ascii="Arial" w:hAnsi="Arial" w:cs="Arial"/>
          <w:sz w:val="22"/>
          <w:szCs w:val="22"/>
        </w:rPr>
      </w:pPr>
      <w:r>
        <w:rPr>
          <w:rFonts w:cs="Arial" w:ascii="Arial" w:hAnsi="Arial"/>
          <w:sz w:val="22"/>
          <w:szCs w:val="22"/>
        </w:rPr>
      </w:r>
    </w:p>
    <w:p>
      <w:pPr>
        <w:pStyle w:val="ListParagraph"/>
        <w:jc w:val="center"/>
        <w:rPr>
          <w:rFonts w:ascii="Arial" w:hAnsi="Arial" w:cs="Arial"/>
          <w:b/>
          <w:bCs/>
          <w:sz w:val="22"/>
          <w:szCs w:val="22"/>
          <w:lang w:eastAsia="ja-JP"/>
        </w:rPr>
      </w:pPr>
      <w:r>
        <w:rPr>
          <w:rFonts w:cs="Arial" w:ascii="Arial" w:hAnsi="Arial"/>
          <w:b/>
          <w:bCs/>
          <w:sz w:val="22"/>
          <w:szCs w:val="22"/>
          <w:lang w:eastAsia="ja-JP"/>
        </w:rPr>
      </w:r>
    </w:p>
    <w:p>
      <w:pPr>
        <w:pStyle w:val="ListParagraph"/>
        <w:jc w:val="center"/>
        <w:rPr>
          <w:rFonts w:ascii="Arial" w:hAnsi="Arial" w:cs="Arial"/>
          <w:b/>
          <w:bCs/>
          <w:sz w:val="22"/>
          <w:szCs w:val="22"/>
          <w:lang w:eastAsia="ja-JP"/>
        </w:rPr>
      </w:pPr>
      <w:r>
        <w:br w:type="column"/>
      </w:r>
      <w:r>
        <w:rPr>
          <w:rFonts w:cs="Arial" w:ascii="Arial" w:hAnsi="Arial"/>
          <w:b/>
          <w:bCs/>
          <w:sz w:val="22"/>
          <w:szCs w:val="22"/>
          <w:lang w:eastAsia="ja-JP"/>
        </w:rPr>
        <w:t>SUTARTIES REIKALAVIMAI</w:t>
      </w:r>
    </w:p>
    <w:p>
      <w:pPr>
        <w:pStyle w:val="Heading2"/>
        <w:numPr>
          <w:ilvl w:val="0"/>
          <w:numId w:val="2"/>
        </w:numPr>
        <w:rPr>
          <w:rFonts w:ascii="Arial" w:hAnsi="Arial" w:eastAsia="Calibri" w:cs="Arial" w:eastAsiaTheme="minorHAnsi"/>
          <w:color w:val="auto"/>
          <w:sz w:val="22"/>
          <w:szCs w:val="22"/>
          <w:lang w:val="lt-LT"/>
        </w:rPr>
      </w:pPr>
      <w:r>
        <w:rPr>
          <w:rFonts w:eastAsia="Calibri" w:cs="Arial" w:ascii="Arial" w:hAnsi="Arial" w:eastAsiaTheme="minorHAnsi"/>
          <w:color w:val="auto"/>
          <w:sz w:val="22"/>
          <w:szCs w:val="22"/>
          <w:lang w:val="lt-LT"/>
        </w:rPr>
        <w:t>Sutarties vykdymo vieta(-os)</w:t>
      </w:r>
    </w:p>
    <w:p>
      <w:pPr>
        <w:pStyle w:val="Normal"/>
        <w:rPr>
          <w:rFonts w:ascii="Arial" w:hAnsi="Arial" w:cs="Arial"/>
          <w:sz w:val="22"/>
          <w:szCs w:val="22"/>
          <w:lang w:eastAsia="ja-JP"/>
        </w:rPr>
      </w:pPr>
      <w:r>
        <w:rPr>
          <w:rFonts w:cs="Arial" w:ascii="Arial" w:hAnsi="Arial"/>
          <w:sz w:val="22"/>
          <w:szCs w:val="22"/>
          <w:lang w:eastAsia="ja-JP"/>
        </w:rPr>
        <w:t>Savanorių pr. 176, Vilnius</w:t>
      </w:r>
    </w:p>
    <w:p>
      <w:pPr>
        <w:pStyle w:val="Normal"/>
        <w:rPr>
          <w:rFonts w:ascii="Arial" w:hAnsi="Arial" w:cs="Arial"/>
          <w:sz w:val="22"/>
          <w:szCs w:val="22"/>
          <w:lang w:eastAsia="ja-JP"/>
        </w:rPr>
      </w:pPr>
      <w:r>
        <w:rPr>
          <w:rFonts w:cs="Arial" w:ascii="Arial" w:hAnsi="Arial"/>
          <w:sz w:val="22"/>
          <w:szCs w:val="22"/>
          <w:lang w:eastAsia="ja-JP"/>
        </w:rPr>
      </w:r>
    </w:p>
    <w:p>
      <w:pPr>
        <w:pStyle w:val="ListParagraph"/>
        <w:numPr>
          <w:ilvl w:val="0"/>
          <w:numId w:val="2"/>
        </w:numPr>
        <w:rPr>
          <w:rFonts w:ascii="Arial" w:hAnsi="Arial" w:cs="Arial"/>
          <w:b/>
          <w:bCs/>
          <w:sz w:val="22"/>
          <w:szCs w:val="22"/>
          <w:lang w:eastAsia="ja-JP"/>
        </w:rPr>
      </w:pPr>
      <w:r>
        <w:rPr>
          <w:rFonts w:cs="Arial" w:ascii="Arial" w:hAnsi="Arial"/>
          <w:b/>
          <w:bCs/>
          <w:sz w:val="22"/>
          <w:szCs w:val="22"/>
          <w:lang w:eastAsia="ja-JP"/>
        </w:rPr>
        <w:t>Sutarties vykdymo tvarka ir terminai</w:t>
      </w:r>
    </w:p>
    <w:p>
      <w:pPr>
        <w:pStyle w:val="Normal"/>
        <w:rPr>
          <w:rFonts w:ascii="Arial" w:hAnsi="Arial" w:cs="Arial"/>
          <w:sz w:val="22"/>
          <w:szCs w:val="22"/>
          <w:lang w:eastAsia="ja-JP"/>
        </w:rPr>
      </w:pPr>
      <w:r>
        <w:rPr>
          <w:rFonts w:cs="Arial" w:ascii="Arial" w:hAnsi="Arial"/>
          <w:sz w:val="22"/>
          <w:szCs w:val="22"/>
          <w:lang w:eastAsia="ja-JP"/>
        </w:rPr>
        <w:t>Sutarties trukmė 12 mėn.</w:t>
      </w:r>
    </w:p>
    <w:p>
      <w:pPr>
        <w:pStyle w:val="Normal"/>
        <w:spacing w:lineRule="auto" w:line="259" w:before="0" w:after="160"/>
        <w:rPr>
          <w:rFonts w:ascii="Arial" w:hAnsi="Arial" w:cs="Arial"/>
          <w:sz w:val="22"/>
          <w:szCs w:val="22"/>
          <w:lang w:eastAsia="ja-JP"/>
        </w:rPr>
      </w:pPr>
      <w:r>
        <w:rPr>
          <w:rFonts w:cs="Arial" w:ascii="Arial" w:hAnsi="Arial"/>
          <w:sz w:val="22"/>
          <w:szCs w:val="22"/>
          <w:lang w:eastAsia="ja-JP"/>
        </w:rPr>
      </w:r>
    </w:p>
    <w:p>
      <w:pPr>
        <w:pStyle w:val="Normal"/>
        <w:spacing w:lineRule="auto" w:line="259" w:before="0" w:after="160"/>
        <w:rPr>
          <w:rFonts w:ascii="Arial" w:hAnsi="Arial" w:cs="Arial"/>
          <w:sz w:val="22"/>
          <w:szCs w:val="22"/>
          <w:lang w:eastAsia="ja-JP"/>
        </w:rPr>
      </w:pPr>
      <w:r>
        <w:rPr>
          <w:rFonts w:cs="Arial" w:ascii="Arial" w:hAnsi="Arial"/>
          <w:sz w:val="22"/>
          <w:szCs w:val="22"/>
          <w:lang w:eastAsia="ja-JP"/>
        </w:rPr>
      </w:r>
    </w:p>
    <w:p>
      <w:pPr>
        <w:pStyle w:val="Bodytext11"/>
        <w:shd w:val="clear" w:color="auto" w:fill="auto"/>
        <w:tabs>
          <w:tab w:val="clear" w:pos="1296"/>
          <w:tab w:val="left" w:pos="0" w:leader="none"/>
        </w:tabs>
        <w:spacing w:lineRule="auto" w:line="240" w:before="0" w:after="0"/>
        <w:ind w:hanging="0" w:right="55"/>
        <w:jc w:val="center"/>
        <w:rPr>
          <w:rFonts w:ascii="Arial" w:hAnsi="Arial" w:cs="Arial"/>
          <w:sz w:val="22"/>
          <w:szCs w:val="22"/>
        </w:rPr>
      </w:pPr>
      <w:r>
        <w:rPr/>
        <w:t>---------------</w:t>
      </w:r>
    </w:p>
    <w:sectPr>
      <w:headerReference w:type="even" r:id="rId2"/>
      <w:headerReference w:type="default" r:id="rId3"/>
      <w:headerReference w:type="first" r:id="rId4"/>
      <w:type w:val="nextPage"/>
      <w:pgSz w:w="11906" w:h="16838"/>
      <w:pgMar w:left="1134" w:right="1134" w:gutter="0" w:header="0" w:top="1701"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Segoe UI">
    <w:charset w:val="00"/>
    <w:family w:val="swiss"/>
    <w:pitch w:val="variable"/>
  </w:font>
  <w:font w:name="CIDFont+F2">
    <w:charset w:val="00"/>
    <w:family w:val="roman"/>
    <w:pitch w:val="variable"/>
  </w:font>
  <w:font w:name="CIDFont+F5">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b/>
        <w:bCs/>
        <w:szCs w:val="22"/>
      </w:rPr>
    </w:pPr>
    <w:r>
      <w:rPr>
        <w:b/>
        <w:bCs/>
        <w:szCs w:val="22"/>
      </w:rPr>
      <mc:AlternateContent>
        <mc:Choice Requires="wps">
          <w:drawing>
            <wp:anchor behindDoc="1" distT="0" distB="0" distL="0" distR="0" simplePos="0" locked="0" layoutInCell="0" allowOverlap="1" relativeHeight="12">
              <wp:simplePos x="0" y="0"/>
              <wp:positionH relativeFrom="page">
                <wp:posOffset>2576830</wp:posOffset>
              </wp:positionH>
              <wp:positionV relativeFrom="paragraph">
                <wp:posOffset>881380</wp:posOffset>
              </wp:positionV>
              <wp:extent cx="114300" cy="168275"/>
              <wp:effectExtent l="0" t="0" r="0" b="0"/>
              <wp:wrapNone/>
              <wp:docPr id="1" name="Kadras1"/>
              <a:graphic xmlns:a="http://schemas.openxmlformats.org/drawingml/2006/main">
                <a:graphicData uri="http://schemas.microsoft.com/office/word/2010/wordprocessingShape">
                  <wps:wsp>
                    <wps:cNvSpPr/>
                    <wps:spPr>
                      <a:xfrm>
                        <a:off x="0" y="0"/>
                        <a:ext cx="114480" cy="168120"/>
                      </a:xfrm>
                      <a:prstGeom prst="rect">
                        <a:avLst/>
                      </a:prstGeom>
                      <a:noFill/>
                      <a:ln w="0">
                        <a:noFill/>
                      </a:ln>
                    </wps:spPr>
                    <wps:style>
                      <a:lnRef idx="0"/>
                      <a:fillRef idx="0"/>
                      <a:effectRef idx="0"/>
                      <a:fontRef idx="minor"/>
                    </wps:style>
                    <wps:txbx>
                      <w:txbxContent>
                        <w:p>
                          <w:pPr>
                            <w:pStyle w:val="Headerorfooter1"/>
                            <w:shd w:val="clear" w:color="auto" w:fill="auto"/>
                            <w:rPr/>
                          </w:pPr>
                          <w:r>
                            <w:rPr>
                              <w:rStyle w:val="Headerorfooter11"/>
                              <w:color w:val="000000"/>
                            </w:rPr>
                            <w:t>/v</w:t>
                          </w:r>
                        </w:p>
                      </w:txbxContent>
                    </wps:txbx>
                    <wps:bodyPr lIns="0" rIns="0" tIns="0" bIns="0" anchor="t">
                      <a:noAutofit/>
                    </wps:bodyPr>
                  </wps:wsp>
                </a:graphicData>
              </a:graphic>
            </wp:anchor>
          </w:drawing>
        </mc:Choice>
        <mc:Fallback>
          <w:pict>
            <v:rect id="shape_0" ID="Kadras1" path="m0,0l-2147483645,0l-2147483645,-2147483646l0,-2147483646xe" stroked="f" o:allowincell="f" style="position:absolute;margin-left:202.9pt;margin-top:69.4pt;width:8.95pt;height:13.2pt;mso-wrap-style:square;v-text-anchor:top;mso-position-horizontal-relative:page">
              <v:fill o:detectmouseclick="t" on="false"/>
              <v:stroke color="#3465a4" joinstyle="round" endcap="flat"/>
              <v:textbox>
                <w:txbxContent>
                  <w:p>
                    <w:pPr>
                      <w:pStyle w:val="Headerorfooter1"/>
                      <w:shd w:val="clear" w:color="auto" w:fill="auto"/>
                      <w:rPr/>
                    </w:pPr>
                    <w:r>
                      <w:rPr>
                        <w:rStyle w:val="Headerorfooter11"/>
                        <w:color w:val="000000"/>
                      </w:rPr>
                      <w:t>/v</w:t>
                    </w:r>
                  </w:p>
                </w:txbxContent>
              </v:textbox>
              <w10:wrap type="none"/>
            </v:rect>
          </w:pict>
        </mc:Fallback>
      </mc:AlternateContent>
    </w:r>
  </w:p>
  <w:p>
    <w:pPr>
      <w:pStyle w:val="Normal"/>
      <w:spacing w:before="360" w:after="0"/>
      <w:ind w:left="1296"/>
      <w:jc w:val="right"/>
      <w:rPr>
        <w:sz w:val="22"/>
        <w:szCs w:val="22"/>
      </w:rPr>
    </w:pPr>
    <w:r>
      <w:rPr>
        <w:rFonts w:cs="Arial" w:ascii="Arial" w:hAnsi="Arial"/>
        <w:sz w:val="22"/>
        <w:szCs w:val="22"/>
      </w:rPr>
      <w:t>Skelbiamos apklausos Specialiųjų sąlygų priedas Nr. 1 „Techninė specifikacija“</w:t>
    </w:r>
  </w:p>
  <w:p>
    <w:pPr>
      <w:pStyle w:val="Normal"/>
      <w:rPr>
        <w:rFonts w:cs="Times New Roman"/>
        <w:color w:val="auto"/>
        <w:sz w:val="2"/>
        <w:szCs w:val="2"/>
      </w:rPr>
    </w:pPr>
    <w:r>
      <w:rPr>
        <w:rFonts w:cs="Times New Roman"/>
        <w:color w:val="auto"/>
        <w:sz w:val="2"/>
        <w:szCs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b/>
        <w:bCs/>
        <w:szCs w:val="22"/>
      </w:rPr>
    </w:pPr>
    <w:r>
      <w:rPr>
        <w:b/>
        <w:bCs/>
        <w:szCs w:val="22"/>
      </w:rPr>
      <mc:AlternateContent>
        <mc:Choice Requires="wps">
          <w:drawing>
            <wp:anchor behindDoc="1" distT="0" distB="0" distL="0" distR="0" simplePos="0" locked="0" layoutInCell="0" allowOverlap="1" relativeHeight="12">
              <wp:simplePos x="0" y="0"/>
              <wp:positionH relativeFrom="page">
                <wp:posOffset>2576830</wp:posOffset>
              </wp:positionH>
              <wp:positionV relativeFrom="paragraph">
                <wp:posOffset>881380</wp:posOffset>
              </wp:positionV>
              <wp:extent cx="114300" cy="168275"/>
              <wp:effectExtent l="0" t="0" r="0" b="0"/>
              <wp:wrapNone/>
              <wp:docPr id="2" name="Kadras1"/>
              <a:graphic xmlns:a="http://schemas.openxmlformats.org/drawingml/2006/main">
                <a:graphicData uri="http://schemas.microsoft.com/office/word/2010/wordprocessingShape">
                  <wps:wsp>
                    <wps:cNvSpPr/>
                    <wps:spPr>
                      <a:xfrm>
                        <a:off x="0" y="0"/>
                        <a:ext cx="114480" cy="168120"/>
                      </a:xfrm>
                      <a:prstGeom prst="rect">
                        <a:avLst/>
                      </a:prstGeom>
                      <a:noFill/>
                      <a:ln w="0">
                        <a:noFill/>
                      </a:ln>
                    </wps:spPr>
                    <wps:style>
                      <a:lnRef idx="0"/>
                      <a:fillRef idx="0"/>
                      <a:effectRef idx="0"/>
                      <a:fontRef idx="minor"/>
                    </wps:style>
                    <wps:txbx>
                      <w:txbxContent>
                        <w:p>
                          <w:pPr>
                            <w:pStyle w:val="Headerorfooter1"/>
                            <w:shd w:val="clear" w:color="auto" w:fill="auto"/>
                            <w:rPr/>
                          </w:pPr>
                          <w:r>
                            <w:rPr>
                              <w:rStyle w:val="Headerorfooter11"/>
                              <w:color w:val="000000"/>
                            </w:rPr>
                            <w:t>/v</w:t>
                          </w:r>
                        </w:p>
                      </w:txbxContent>
                    </wps:txbx>
                    <wps:bodyPr lIns="0" rIns="0" tIns="0" bIns="0" anchor="t">
                      <a:noAutofit/>
                    </wps:bodyPr>
                  </wps:wsp>
                </a:graphicData>
              </a:graphic>
            </wp:anchor>
          </w:drawing>
        </mc:Choice>
        <mc:Fallback>
          <w:pict>
            <v:rect id="shape_0" ID="Kadras1" path="m0,0l-2147483645,0l-2147483645,-2147483646l0,-2147483646xe" stroked="f" o:allowincell="f" style="position:absolute;margin-left:202.9pt;margin-top:69.4pt;width:8.95pt;height:13.2pt;mso-wrap-style:square;v-text-anchor:top;mso-position-horizontal-relative:page">
              <v:fill o:detectmouseclick="t" on="false"/>
              <v:stroke color="#3465a4" joinstyle="round" endcap="flat"/>
              <v:textbox>
                <w:txbxContent>
                  <w:p>
                    <w:pPr>
                      <w:pStyle w:val="Headerorfooter1"/>
                      <w:shd w:val="clear" w:color="auto" w:fill="auto"/>
                      <w:rPr/>
                    </w:pPr>
                    <w:r>
                      <w:rPr>
                        <w:rStyle w:val="Headerorfooter11"/>
                        <w:color w:val="000000"/>
                      </w:rPr>
                      <w:t>/v</w:t>
                    </w:r>
                  </w:p>
                </w:txbxContent>
              </v:textbox>
              <w10:wrap type="none"/>
            </v:rect>
          </w:pict>
        </mc:Fallback>
      </mc:AlternateContent>
    </w:r>
  </w:p>
  <w:p>
    <w:pPr>
      <w:pStyle w:val="Normal"/>
      <w:spacing w:before="360" w:after="0"/>
      <w:ind w:left="1296"/>
      <w:jc w:val="right"/>
      <w:rPr>
        <w:sz w:val="22"/>
        <w:szCs w:val="22"/>
      </w:rPr>
    </w:pPr>
    <w:r>
      <w:rPr>
        <w:rFonts w:cs="Arial" w:ascii="Arial" w:hAnsi="Arial"/>
        <w:sz w:val="22"/>
        <w:szCs w:val="22"/>
      </w:rPr>
      <w:t>Skelbiamos apklausos Specialiųjų sąlygų priedas Nr. 1 „Techninė specifikacija“</w:t>
    </w:r>
  </w:p>
  <w:p>
    <w:pPr>
      <w:pStyle w:val="Normal"/>
      <w:rPr>
        <w:rFonts w:cs="Times New Roman"/>
        <w:color w:val="auto"/>
        <w:sz w:val="2"/>
        <w:szCs w:val="2"/>
      </w:rPr>
    </w:pPr>
    <w:r>
      <w:rPr>
        <w:rFonts w:cs="Times New Roman"/>
        <w:color w:val="auto"/>
        <w:sz w:val="2"/>
        <w:szCs w:val="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3.%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3.1.%1"/>
      <w:lvlJc w:val="left"/>
      <w:pPr>
        <w:tabs>
          <w:tab w:val="num" w:pos="0"/>
        </w:tabs>
        <w:ind w:left="144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3.2.%1"/>
      <w:lvlJc w:val="left"/>
      <w:pPr>
        <w:tabs>
          <w:tab w:val="num" w:pos="0"/>
        </w:tabs>
        <w:ind w:left="928" w:hanging="360"/>
      </w:pPr>
      <w:rPr/>
    </w:lvl>
    <w:lvl w:ilvl="1">
      <w:start w:val="1"/>
      <w:numFmt w:val="lowerLetter"/>
      <w:lvlText w:val="%2."/>
      <w:lvlJc w:val="left"/>
      <w:pPr>
        <w:tabs>
          <w:tab w:val="num" w:pos="0"/>
        </w:tabs>
        <w:ind w:left="208" w:hanging="360"/>
      </w:pPr>
      <w:rPr/>
    </w:lvl>
    <w:lvl w:ilvl="2">
      <w:start w:val="1"/>
      <w:numFmt w:val="lowerRoman"/>
      <w:lvlText w:val="%3."/>
      <w:lvlJc w:val="right"/>
      <w:pPr>
        <w:tabs>
          <w:tab w:val="num" w:pos="0"/>
        </w:tabs>
        <w:ind w:left="928" w:hanging="180"/>
      </w:pPr>
      <w:rPr/>
    </w:lvl>
    <w:lvl w:ilvl="3">
      <w:start w:val="1"/>
      <w:numFmt w:val="decimal"/>
      <w:lvlText w:val="%4."/>
      <w:lvlJc w:val="left"/>
      <w:pPr>
        <w:tabs>
          <w:tab w:val="num" w:pos="0"/>
        </w:tabs>
        <w:ind w:left="1648" w:hanging="360"/>
      </w:pPr>
      <w:rPr/>
    </w:lvl>
    <w:lvl w:ilvl="4">
      <w:start w:val="1"/>
      <w:numFmt w:val="lowerLetter"/>
      <w:lvlText w:val="%5."/>
      <w:lvlJc w:val="left"/>
      <w:pPr>
        <w:tabs>
          <w:tab w:val="num" w:pos="0"/>
        </w:tabs>
        <w:ind w:left="2368" w:hanging="360"/>
      </w:pPr>
      <w:rPr/>
    </w:lvl>
    <w:lvl w:ilvl="5">
      <w:start w:val="1"/>
      <w:numFmt w:val="lowerRoman"/>
      <w:lvlText w:val="%6."/>
      <w:lvlJc w:val="right"/>
      <w:pPr>
        <w:tabs>
          <w:tab w:val="num" w:pos="0"/>
        </w:tabs>
        <w:ind w:left="3088" w:hanging="180"/>
      </w:pPr>
      <w:rPr/>
    </w:lvl>
    <w:lvl w:ilvl="6">
      <w:start w:val="1"/>
      <w:numFmt w:val="decimal"/>
      <w:lvlText w:val="%7."/>
      <w:lvlJc w:val="left"/>
      <w:pPr>
        <w:tabs>
          <w:tab w:val="num" w:pos="0"/>
        </w:tabs>
        <w:ind w:left="3808" w:hanging="360"/>
      </w:pPr>
      <w:rPr/>
    </w:lvl>
    <w:lvl w:ilvl="7">
      <w:start w:val="1"/>
      <w:numFmt w:val="lowerLetter"/>
      <w:lvlText w:val="%8."/>
      <w:lvlJc w:val="left"/>
      <w:pPr>
        <w:tabs>
          <w:tab w:val="num" w:pos="0"/>
        </w:tabs>
        <w:ind w:left="4528" w:hanging="360"/>
      </w:pPr>
      <w:rPr/>
    </w:lvl>
    <w:lvl w:ilvl="8">
      <w:start w:val="1"/>
      <w:numFmt w:val="lowerRoman"/>
      <w:lvlText w:val="%9."/>
      <w:lvlJc w:val="right"/>
      <w:pPr>
        <w:tabs>
          <w:tab w:val="num" w:pos="0"/>
        </w:tabs>
        <w:ind w:left="5248" w:hanging="180"/>
      </w:pPr>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5"/>
      <w:numFmt w:val="decimal"/>
      <w:lvlText w:val="%1."/>
      <w:lvlJc w:val="left"/>
      <w:pPr>
        <w:tabs>
          <w:tab w:val="num" w:pos="0"/>
        </w:tabs>
        <w:ind w:left="540" w:hanging="54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1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 w:asciiTheme="minorHAnsi" w:cstheme="minorBidi" w:hAnsiTheme="minorHAnsi"/>
      <w:b/>
      <w:bCs/>
      <w:color w:themeColor="accent1" w:themeShade="bf" w:val="2E74B5"/>
      <w:lang w:val="en-US" w:eastAsia="ja-JP"/>
    </w:rPr>
  </w:style>
  <w:style w:type="paragraph" w:styleId="Heading3">
    <w:name w:val="heading 3"/>
    <w:basedOn w:val="Normal"/>
    <w:next w:val="Normal"/>
    <w:link w:val="Antrat3Diagrama"/>
    <w:uiPriority w:val="9"/>
    <w:semiHidden/>
    <w:unhideWhenUsed/>
    <w:qFormat/>
    <w:rsid w:val="00d43fd7"/>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1" w:customStyle="1">
    <w:name w:val="Heading #3_"/>
    <w:link w:val="Heading32"/>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semiHidden/>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Neapdorotaspaminjimas1" w:customStyle="1">
    <w:name w:val="Neapdorotas paminėjimas1"/>
    <w:basedOn w:val="DefaultParagraphFont"/>
    <w:uiPriority w:val="99"/>
    <w:semiHidden/>
    <w:unhideWhenUsed/>
    <w:qFormat/>
    <w:rsid w:val="00fd6248"/>
    <w:rPr>
      <w:color w:val="605E5C"/>
      <w:shd w:fill="E1DFDD" w:val="clear"/>
    </w:rPr>
  </w:style>
  <w:style w:type="character" w:styleId="fontstyle01" w:customStyle="1">
    <w:name w:val="fontstyle01"/>
    <w:basedOn w:val="DefaultParagraphFont"/>
    <w:qFormat/>
    <w:rsid w:val="006250b1"/>
    <w:rPr>
      <w:rFonts w:ascii="CIDFont+F2" w:hAnsi="CIDFont+F2"/>
      <w:b w:val="false"/>
      <w:bCs w:val="false"/>
      <w:i w:val="false"/>
      <w:iCs w:val="false"/>
      <w:color w:val="000000"/>
      <w:sz w:val="22"/>
      <w:szCs w:val="22"/>
    </w:rPr>
  </w:style>
  <w:style w:type="character" w:styleId="fontstyle21" w:customStyle="1">
    <w:name w:val="fontstyle21"/>
    <w:basedOn w:val="DefaultParagraphFont"/>
    <w:qFormat/>
    <w:rsid w:val="006379cb"/>
    <w:rPr>
      <w:rFonts w:ascii="CIDFont+F5" w:hAnsi="CIDFont+F5"/>
      <w:b w:val="false"/>
      <w:bCs w:val="false"/>
      <w:i w:val="false"/>
      <w:iCs w:val="false"/>
      <w:color w:val="000000"/>
      <w:sz w:val="22"/>
      <w:szCs w:val="22"/>
    </w:rPr>
  </w:style>
  <w:style w:type="character" w:styleId="BetarpDiagrama" w:customStyle="1">
    <w:name w:val="Be tarpų Diagrama"/>
    <w:link w:val="NoSpacing"/>
    <w:uiPriority w:val="1"/>
    <w:qFormat/>
    <w:rsid w:val="004b7231"/>
    <w:rPr>
      <w:rFonts w:ascii="Arial Unicode MS" w:hAnsi="Arial Unicode MS" w:eastAsia="Arial Unicode MS" w:cs="Arial Unicode MS"/>
      <w:color w:val="000000"/>
      <w:sz w:val="24"/>
      <w:szCs w:val="24"/>
      <w:lang w:eastAsia="lt-LT"/>
    </w:rPr>
  </w:style>
  <w:style w:type="character" w:styleId="Antrat3Diagrama" w:customStyle="1">
    <w:name w:val="Antraštė 3 Diagrama"/>
    <w:basedOn w:val="DefaultParagraphFont"/>
    <w:uiPriority w:val="9"/>
    <w:semiHidden/>
    <w:qFormat/>
    <w:rsid w:val="00d43fd7"/>
    <w:rPr>
      <w:rFonts w:ascii="Calibri Light" w:hAnsi="Calibri Light" w:eastAsia="" w:cs="" w:asciiTheme="majorHAnsi" w:cstheme="majorBidi" w:eastAsiaTheme="majorEastAsia" w:hAnsiTheme="majorHAnsi"/>
      <w:color w:themeColor="accent1" w:themeShade="7f" w:val="1F4D78"/>
      <w:sz w:val="24"/>
      <w:szCs w:val="24"/>
      <w:lang w:eastAsia="lt-LT"/>
    </w:rPr>
  </w:style>
  <w:style w:type="character" w:styleId="Strong">
    <w:name w:val="Strong"/>
    <w:basedOn w:val="DefaultParagraphFont"/>
    <w:uiPriority w:val="22"/>
    <w:qFormat/>
    <w:rsid w:val="00d43fd7"/>
    <w:rPr>
      <w:b/>
      <w:bCs/>
    </w:rPr>
  </w:style>
  <w:style w:type="character" w:styleId="Emphasis">
    <w:name w:val="Emphasis"/>
    <w:basedOn w:val="DefaultParagraphFont"/>
    <w:uiPriority w:val="20"/>
    <w:qFormat/>
    <w:rsid w:val="00d43fd7"/>
    <w:rPr>
      <w:i/>
      <w:iCs/>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2" w:customStyle="1">
    <w:name w:val="Heading #3"/>
    <w:basedOn w:val="Normal"/>
    <w:link w:val="Heading31"/>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semiHidden/>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link w:val="BetarpDiagrama"/>
    <w:uiPriority w:val="1"/>
    <w:qFormat/>
    <w:rsid w:val="00d24979"/>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NormalWeb">
    <w:name w:val="Normal (Web)"/>
    <w:basedOn w:val="Normal"/>
    <w:uiPriority w:val="99"/>
    <w:semiHidden/>
    <w:unhideWhenUsed/>
    <w:qFormat/>
    <w:rsid w:val="00d43fd7"/>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9498-76ED-4C23-B933-10E74BF6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Application>LibreOffice/24.8.0.3$Windows_X86_64 LibreOffice_project/0bdf1299c94fe897b119f97f3c613e9dca6be583</Application>
  <AppVersion>15.0000</AppVersion>
  <Pages>6</Pages>
  <Words>1919</Words>
  <Characters>12835</Characters>
  <CharactersWithSpaces>14449</CharactersWithSpaces>
  <Paragraphs>305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2026-03-04T14:39:00Z</dcterms:created>
  <dc:creator>Justinas Jasinskas | VMU</dc:creator>
  <dc:description/>
  <dc:language>lt-LT</dc:language>
  <cp:lastModifiedBy/>
  <cp:lastPrinted>2017-10-16T10:04:00Z</cp:lastPrinted>
  <dcterms:modified xsi:type="dcterms:W3CDTF">2026-04-08T11:38:58Z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ActionId">
    <vt:lpwstr>9570628f-3eac-478b-a6d0-e3bbc3708fe8</vt:lpwstr>
  </property>
  <property fmtid="{D5CDD505-2E9C-101B-9397-08002B2CF9AE}" pid="3" name="MSIP_Label_5af4f1a9-ae13-4e26-ac6c-11f4c8a2f064_ContentBits">
    <vt:lpwstr>0</vt:lpwstr>
  </property>
  <property fmtid="{D5CDD505-2E9C-101B-9397-08002B2CF9AE}" pid="4" name="MSIP_Label_5af4f1a9-ae13-4e26-ac6c-11f4c8a2f064_Enabled">
    <vt:lpwstr>true</vt:lpwstr>
  </property>
  <property fmtid="{D5CDD505-2E9C-101B-9397-08002B2CF9AE}" pid="5" name="MSIP_Label_5af4f1a9-ae13-4e26-ac6c-11f4c8a2f064_Method">
    <vt:lpwstr>Privileged</vt:lpwstr>
  </property>
  <property fmtid="{D5CDD505-2E9C-101B-9397-08002B2CF9AE}" pid="6" name="MSIP_Label_5af4f1a9-ae13-4e26-ac6c-11f4c8a2f064_Name">
    <vt:lpwstr>5af4f1a9-ae13-4e26-ac6c-11f4c8a2f064</vt:lpwstr>
  </property>
  <property fmtid="{D5CDD505-2E9C-101B-9397-08002B2CF9AE}" pid="7" name="MSIP_Label_5af4f1a9-ae13-4e26-ac6c-11f4c8a2f064_SetDate">
    <vt:lpwstr>2021-12-04T09:18:48Z</vt:lpwstr>
  </property>
  <property fmtid="{D5CDD505-2E9C-101B-9397-08002B2CF9AE}" pid="8" name="MSIP_Label_5af4f1a9-ae13-4e26-ac6c-11f4c8a2f064_SiteId">
    <vt:lpwstr>65f51067-7d65-4aa9-b996-4cc43a0d7111</vt:lpwstr>
  </property>
</Properties>
</file>